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nil" w:color="FFFFFF" w:sz="0"/>
              <w:bottom w:val="nil" w:color="FFFFFF" w:sz="0"/>
              <w:right w:val="nil" w:color="FFFFFF" w:sz="0"/>
            </w:tcBorders>
            <w:shd w:fill="0D1B2E" w:color="auto" w:val="clear"/>
            <w:tcMar>
              <w:top w:type="dxa" w:w="720"/>
              <w:left w:type="dxa" w:w="600"/>
              <w:bottom w:type="dxa" w:w="540"/>
              <w:right w:type="dxa" w:w="600"/>
            </w:tcMar>
          </w:tcPr>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nil" w:color="FFFFFF" w:sz="0"/>
                    <w:bottom w:val="nil" w:color="FFFFFF" w:sz="0"/>
                    <w:right w:val="nil" w:color="FFFFFF" w:sz="0"/>
                  </w:tcBorders>
                  <w:shd w:fill="CC0000" w:color="auto" w:val="clear"/>
                  <w:tcMar>
                    <w:top w:type="dxa" w:w="360"/>
                    <w:left w:type="dxa" w:w="504"/>
                    <w:bottom w:type="dxa" w:w="360"/>
                    <w:right w:type="dxa" w:w="504"/>
                  </w:tcMar>
                </w:tcPr>
                <w:p>
                  <w:pPr>
                    <w:spacing w:after="120" w:line="408" w:lineRule="auto"/>
                  </w:pPr>
                  <w:r>
                    <w:t xml:space="preserve">■</w:t>
                  </w:r>
                </w:p>
                <w:p>
                  <w:pPr>
                    <w:spacing w:after="120" w:line="408" w:lineRule="auto"/>
                  </w:pPr>
                  <w:r>
                    <w:t xml:space="preserve">CONFIDENTIAL</w:t>
                  </w:r>
                </w:p>
              </w:tc>
            </w:tr>
          </w:tbl>
          <w:p>
            <w:pPr>
              <w:spacing w:after="240" w:before="0"/>
            </w:pPr>
          </w:p>
          <w:p>
            <w:pPr>
              <w:spacing w:after="120" w:line="288" w:lineRule="auto"/>
            </w:pPr>
            <w:r>
              <w:rPr>
                <w:rFonts w:ascii="Calibri" w:cs="Calibri" w:eastAsia="Calibri" w:hAnsi="Calibri"/>
                <w:b/>
                <w:bCs/>
                <w:i w:val="false"/>
                <w:iCs w:val="false"/>
                <w:strike w:val="false"/>
                <w:color w:val="FFFFFF"/>
                <w:sz w:val="56"/>
                <w:szCs w:val="56"/>
              </w:rPr>
              <w:t xml:space="preserve">Insider-Safe Computing System</w:t>
            </w:r>
          </w:p>
          <w:p>
            <w:pPr>
              <w:spacing w:after="120" w:line="360" w:lineRule="auto"/>
            </w:pPr>
            <w:r>
              <w:rPr>
                <w:rFonts w:ascii="Calibri" w:cs="Calibri" w:eastAsia="Calibri" w:hAnsi="Calibri"/>
                <w:b w:val="false"/>
                <w:bCs w:val="false"/>
                <w:i w:val="false"/>
                <w:iCs w:val="false"/>
                <w:strike w:val="false"/>
                <w:color w:val="C8D6E8"/>
                <w:sz w:val="32"/>
                <w:szCs w:val="32"/>
              </w:rPr>
              <w:t xml:space="preserve">Architecture Specification and Threat Model</w:t>
            </w:r>
          </w:p>
          <w:p>
            <w:pPr>
              <w:spacing w:after="120" w:line="408" w:lineRule="auto"/>
            </w:pPr>
            <w:r>
              <w:t xml:space="preserve">Document ID</w:t>
            </w:r>
          </w:p>
          <w:p>
            <w:pPr>
              <w:spacing w:after="120" w:line="408" w:lineRule="auto"/>
            </w:pPr>
            <w:r>
              <w:t xml:space="preserve">ISCS-ARCH-1.0</w:t>
            </w:r>
          </w:p>
          <w:p>
            <w:pPr>
              <w:spacing w:after="120" w:line="408" w:lineRule="auto"/>
            </w:pPr>
            <w:r>
              <w:t xml:space="preserve">Version</w:t>
            </w:r>
          </w:p>
          <w:p>
            <w:pPr>
              <w:spacing w:after="120" w:line="408" w:lineRule="auto"/>
            </w:pPr>
            <w:r>
              <w:t xml:space="preserve">1.0</w:t>
            </w:r>
          </w:p>
          <w:p>
            <w:pPr>
              <w:spacing w:after="120" w:line="408" w:lineRule="auto"/>
            </w:pPr>
            <w:r>
              <w:t xml:space="preserve">Date</w:t>
            </w:r>
          </w:p>
          <w:p>
            <w:pPr>
              <w:spacing w:after="120" w:line="408" w:lineRule="auto"/>
            </w:pPr>
            <w:r>
              <w:t xml:space="preserve">September 2026</w:t>
            </w:r>
          </w:p>
          <w:p>
            <w:pPr>
              <w:spacing w:after="120" w:line="408" w:lineRule="auto"/>
            </w:pPr>
            <w:r>
              <w:t xml:space="preserve">Status</w:t>
            </w:r>
          </w:p>
          <w:p>
            <w:pPr>
              <w:spacing w:after="120" w:line="408" w:lineRule="auto"/>
            </w:pPr>
            <w:r>
              <w:t xml:space="preserve">Final — For Review</w:t>
            </w:r>
          </w:p>
          <w:p>
            <w:pPr>
              <w:spacing w:after="120" w:line="408" w:lineRule="auto"/>
            </w:pPr>
            <w:r>
              <w:t xml:space="preserve">Author</w:t>
            </w:r>
          </w:p>
          <w:p>
            <w:pPr>
              <w:spacing w:after="120" w:line="408" w:lineRule="auto"/>
            </w:pPr>
            <w:r>
              <w:t xml:space="preserve">System Architect</w:t>
            </w:r>
          </w:p>
          <w:p>
            <w:pPr>
              <w:spacing w:after="120" w:line="408" w:lineRule="auto"/>
            </w:pPr>
            <w:r>
              <w:t xml:space="preserve">Classification</w:t>
            </w:r>
          </w:p>
          <w:p>
            <w:pPr>
              <w:spacing w:after="120" w:line="408" w:lineRule="auto"/>
            </w:pPr>
            <w:r>
              <w:rPr>
                <w:rFonts w:ascii="Calibri" w:cs="Calibri" w:eastAsia="Calibri" w:hAnsi="Calibri"/>
                <w:b/>
                <w:bCs/>
                <w:i w:val="false"/>
                <w:iCs w:val="false"/>
                <w:strike w:val="false"/>
                <w:color w:val="FF9999"/>
                <w:sz w:val="22"/>
                <w:szCs w:val="22"/>
              </w:rPr>
              <w:t xml:space="preserve">CONFIDENTIAL</w:t>
            </w:r>
          </w:p>
        </w:tc>
      </w:tr>
    </w:tbl>
    <w:p>
      <w:pPr>
        <w:spacing w:after="240" w:before="0"/>
      </w:pPr>
    </w:p>
    <w:p>
      <w:pPr>
        <w:spacing w:after="240" w:line="360" w:lineRule="auto"/>
      </w:pPr>
      <w:r>
        <w:rPr>
          <w:rFonts w:ascii="Calibri" w:cs="Calibri" w:eastAsia="Calibri" w:hAnsi="Calibri"/>
          <w:b/>
          <w:bCs/>
          <w:i w:val="false"/>
          <w:iCs w:val="false"/>
          <w:strike w:val="false"/>
          <w:color w:val="0D1B2E"/>
          <w:sz w:val="32"/>
          <w:szCs w:val="32"/>
        </w:rPr>
        <w:t xml:space="preserve">Table of Contents</w:t>
      </w:r>
    </w:p>
    <w:p>
      <w:pPr>
        <w:pBdr>
          <w:bottom w:val="single" w:color="2B5797" w:sz="6"/>
        </w:pBdr>
        <w:spacing w:after="240" w:before="240"/>
      </w:pPr>
    </w:p>
    <w:p>
      <w:pPr>
        <w:spacing w:after="60" w:before="60" w:line="360" w:lineRule="auto"/>
      </w:pPr>
      <w:r>
        <w:rPr>
          <w:rFonts w:ascii="Calibri" w:cs="Calibri" w:eastAsia="Calibri" w:hAnsi="Calibri"/>
          <w:b/>
          <w:bCs/>
          <w:i w:val="false"/>
          <w:iCs w:val="false"/>
          <w:strike w:val="false"/>
          <w:color w:val="2B5797"/>
          <w:sz w:val="22"/>
          <w:szCs w:val="22"/>
        </w:rPr>
        <w:t xml:space="preserve">1.</w:t>
      </w:r>
      <w:r>
        <w:rPr>
          <w:rFonts w:ascii="Calibri" w:cs="Calibri" w:eastAsia="Calibri" w:hAnsi="Calibri"/>
          <w:b w:val="false"/>
          <w:bCs w:val="false"/>
          <w:i w:val="false"/>
          <w:iCs w:val="false"/>
          <w:strike w:val="false"/>
          <w:color w:val="000000"/>
          <w:sz w:val="21"/>
          <w:szCs w:val="21"/>
        </w:rPr>
        <w:t xml:space="preserve"> Executive Summary</w:t>
      </w:r>
    </w:p>
    <w:p>
      <w:pPr>
        <w:spacing w:after="60" w:before="60" w:line="360" w:lineRule="auto"/>
      </w:pPr>
      <w:r>
        <w:rPr>
          <w:rFonts w:ascii="Calibri" w:cs="Calibri" w:eastAsia="Calibri" w:hAnsi="Calibri"/>
          <w:b/>
          <w:bCs/>
          <w:i w:val="false"/>
          <w:iCs w:val="false"/>
          <w:strike w:val="false"/>
          <w:color w:val="2B5797"/>
          <w:sz w:val="22"/>
          <w:szCs w:val="22"/>
        </w:rPr>
        <w:t xml:space="preserve">2.</w:t>
      </w:r>
      <w:r>
        <w:rPr>
          <w:rFonts w:ascii="Calibri" w:cs="Calibri" w:eastAsia="Calibri" w:hAnsi="Calibri"/>
          <w:b w:val="false"/>
          <w:bCs w:val="false"/>
          <w:i w:val="false"/>
          <w:iCs w:val="false"/>
          <w:strike w:val="false"/>
          <w:color w:val="000000"/>
          <w:sz w:val="21"/>
          <w:szCs w:val="21"/>
        </w:rPr>
        <w:t xml:space="preserve"> Threat Model</w:t>
      </w:r>
    </w:p>
    <w:p>
      <w:pPr>
        <w:spacing w:after="60" w:before="60" w:line="360" w:lineRule="auto"/>
        <w:ind w:left="300"/>
      </w:pPr>
      <w:r>
        <w:rPr>
          <w:rFonts w:ascii="Calibri" w:cs="Calibri" w:eastAsia="Calibri" w:hAnsi="Calibri"/>
          <w:b/>
          <w:bCs/>
          <w:i w:val="false"/>
          <w:iCs w:val="false"/>
          <w:strike w:val="false"/>
          <w:color w:val="2B5797"/>
          <w:sz w:val="22"/>
          <w:szCs w:val="22"/>
        </w:rPr>
        <w:t xml:space="preserve">2.1</w:t>
      </w:r>
      <w:r>
        <w:rPr>
          <w:rFonts w:ascii="Calibri" w:cs="Calibri" w:eastAsia="Calibri" w:hAnsi="Calibri"/>
          <w:b w:val="false"/>
          <w:bCs w:val="false"/>
          <w:i w:val="false"/>
          <w:iCs w:val="false"/>
          <w:strike w:val="false"/>
          <w:color w:val="000000"/>
          <w:sz w:val="20"/>
          <w:szCs w:val="20"/>
        </w:rPr>
        <w:t xml:space="preserve"> Adversary Profile</w:t>
      </w:r>
    </w:p>
    <w:p>
      <w:pPr>
        <w:spacing w:after="60" w:before="60" w:line="360" w:lineRule="auto"/>
        <w:ind w:left="300"/>
      </w:pPr>
      <w:r>
        <w:rPr>
          <w:rFonts w:ascii="Calibri" w:cs="Calibri" w:eastAsia="Calibri" w:hAnsi="Calibri"/>
          <w:b/>
          <w:bCs/>
          <w:i w:val="false"/>
          <w:iCs w:val="false"/>
          <w:strike w:val="false"/>
          <w:color w:val="2B5797"/>
          <w:sz w:val="22"/>
          <w:szCs w:val="22"/>
        </w:rPr>
        <w:t xml:space="preserve">2.2</w:t>
      </w:r>
      <w:r>
        <w:rPr>
          <w:rFonts w:ascii="Calibri" w:cs="Calibri" w:eastAsia="Calibri" w:hAnsi="Calibri"/>
          <w:b w:val="false"/>
          <w:bCs w:val="false"/>
          <w:i w:val="false"/>
          <w:iCs w:val="false"/>
          <w:strike w:val="false"/>
          <w:color w:val="000000"/>
          <w:sz w:val="20"/>
          <w:szCs w:val="20"/>
        </w:rPr>
        <w:t xml:space="preserve"> Threat Scenarios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2.3</w:t>
      </w:r>
      <w:r>
        <w:rPr>
          <w:rFonts w:ascii="Calibri" w:cs="Calibri" w:eastAsia="Calibri" w:hAnsi="Calibri"/>
          <w:b w:val="false"/>
          <w:bCs w:val="false"/>
          <w:i w:val="false"/>
          <w:iCs w:val="false"/>
          <w:strike w:val="false"/>
          <w:color w:val="000000"/>
          <w:sz w:val="20"/>
          <w:szCs w:val="20"/>
        </w:rPr>
        <w:t xml:space="preserve"> Trust Assumptions</w:t>
      </w:r>
    </w:p>
    <w:p>
      <w:pPr>
        <w:spacing w:after="60" w:before="60" w:line="360" w:lineRule="auto"/>
      </w:pPr>
      <w:r>
        <w:rPr>
          <w:rFonts w:ascii="Calibri" w:cs="Calibri" w:eastAsia="Calibri" w:hAnsi="Calibri"/>
          <w:b/>
          <w:bCs/>
          <w:i w:val="false"/>
          <w:iCs w:val="false"/>
          <w:strike w:val="false"/>
          <w:color w:val="2B5797"/>
          <w:sz w:val="22"/>
          <w:szCs w:val="22"/>
        </w:rPr>
        <w:t xml:space="preserve">3.</w:t>
      </w:r>
      <w:r>
        <w:rPr>
          <w:rFonts w:ascii="Calibri" w:cs="Calibri" w:eastAsia="Calibri" w:hAnsi="Calibri"/>
          <w:b w:val="false"/>
          <w:bCs w:val="false"/>
          <w:i w:val="false"/>
          <w:iCs w:val="false"/>
          <w:strike w:val="false"/>
          <w:color w:val="000000"/>
          <w:sz w:val="21"/>
          <w:szCs w:val="21"/>
        </w:rPr>
        <w:t xml:space="preserve"> Core Design Principles</w:t>
      </w:r>
    </w:p>
    <w:p>
      <w:pPr>
        <w:spacing w:after="60" w:before="60" w:line="360" w:lineRule="auto"/>
      </w:pPr>
      <w:r>
        <w:rPr>
          <w:rFonts w:ascii="Calibri" w:cs="Calibri" w:eastAsia="Calibri" w:hAnsi="Calibri"/>
          <w:b/>
          <w:bCs/>
          <w:i w:val="false"/>
          <w:iCs w:val="false"/>
          <w:strike w:val="false"/>
          <w:color w:val="2B5797"/>
          <w:sz w:val="22"/>
          <w:szCs w:val="22"/>
        </w:rPr>
        <w:t xml:space="preserve">4.</w:t>
      </w:r>
      <w:r>
        <w:rPr>
          <w:rFonts w:ascii="Calibri" w:cs="Calibri" w:eastAsia="Calibri" w:hAnsi="Calibri"/>
          <w:b w:val="false"/>
          <w:bCs w:val="false"/>
          <w:i w:val="false"/>
          <w:iCs w:val="false"/>
          <w:strike w:val="false"/>
          <w:color w:val="000000"/>
          <w:sz w:val="21"/>
          <w:szCs w:val="21"/>
        </w:rPr>
        <w:t xml:space="preserve"> Authentication and Session Binding (Trust Tickets)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4.1</w:t>
      </w:r>
      <w:r>
        <w:rPr>
          <w:rFonts w:ascii="Calibri" w:cs="Calibri" w:eastAsia="Calibri" w:hAnsi="Calibri"/>
          <w:b w:val="false"/>
          <w:bCs w:val="false"/>
          <w:i w:val="false"/>
          <w:iCs w:val="false"/>
          <w:strike w:val="false"/>
          <w:color w:val="000000"/>
          <w:sz w:val="20"/>
          <w:szCs w:val="20"/>
        </w:rPr>
        <w:t xml:space="preserve"> Overview</w:t>
      </w:r>
    </w:p>
    <w:p>
      <w:pPr>
        <w:spacing w:after="60" w:before="60" w:line="360" w:lineRule="auto"/>
        <w:ind w:left="300"/>
      </w:pPr>
      <w:r>
        <w:rPr>
          <w:rFonts w:ascii="Calibri" w:cs="Calibri" w:eastAsia="Calibri" w:hAnsi="Calibri"/>
          <w:b/>
          <w:bCs/>
          <w:i w:val="false"/>
          <w:iCs w:val="false"/>
          <w:strike w:val="false"/>
          <w:color w:val="2B5797"/>
          <w:sz w:val="22"/>
          <w:szCs w:val="22"/>
        </w:rPr>
        <w:t xml:space="preserve">4.2</w:t>
      </w:r>
      <w:r>
        <w:rPr>
          <w:rFonts w:ascii="Calibri" w:cs="Calibri" w:eastAsia="Calibri" w:hAnsi="Calibri"/>
          <w:b w:val="false"/>
          <w:bCs w:val="false"/>
          <w:i w:val="false"/>
          <w:iCs w:val="false"/>
          <w:strike w:val="false"/>
          <w:color w:val="000000"/>
          <w:sz w:val="20"/>
          <w:szCs w:val="20"/>
        </w:rPr>
        <w:t xml:space="preserve"> Binding Factors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4.3</w:t>
      </w:r>
      <w:r>
        <w:rPr>
          <w:rFonts w:ascii="Calibri" w:cs="Calibri" w:eastAsia="Calibri" w:hAnsi="Calibri"/>
          <w:b w:val="false"/>
          <w:bCs w:val="false"/>
          <w:i w:val="false"/>
          <w:iCs w:val="false"/>
          <w:strike w:val="false"/>
          <w:color w:val="000000"/>
          <w:sz w:val="20"/>
          <w:szCs w:val="20"/>
        </w:rPr>
        <w:t xml:space="preserve"> Trust Ticket Lifecycle</w:t>
      </w:r>
    </w:p>
    <w:p>
      <w:pPr>
        <w:spacing w:after="60" w:before="60" w:line="360" w:lineRule="auto"/>
        <w:ind w:left="300"/>
      </w:pPr>
      <w:r>
        <w:rPr>
          <w:rFonts w:ascii="Calibri" w:cs="Calibri" w:eastAsia="Calibri" w:hAnsi="Calibri"/>
          <w:b/>
          <w:bCs/>
          <w:i w:val="false"/>
          <w:iCs w:val="false"/>
          <w:strike w:val="false"/>
          <w:color w:val="2B5797"/>
          <w:sz w:val="22"/>
          <w:szCs w:val="22"/>
        </w:rPr>
        <w:t xml:space="preserve">4.4</w:t>
      </w:r>
      <w:r>
        <w:rPr>
          <w:rFonts w:ascii="Calibri" w:cs="Calibri" w:eastAsia="Calibri" w:hAnsi="Calibri"/>
          <w:b w:val="false"/>
          <w:bCs w:val="false"/>
          <w:i w:val="false"/>
          <w:iCs w:val="false"/>
          <w:strike w:val="false"/>
          <w:color w:val="000000"/>
          <w:sz w:val="20"/>
          <w:szCs w:val="20"/>
        </w:rPr>
        <w:t xml:space="preserve"> Login Failure Handling</w:t>
      </w:r>
    </w:p>
    <w:p>
      <w:pPr>
        <w:spacing w:after="60" w:before="60" w:line="360" w:lineRule="auto"/>
      </w:pPr>
      <w:r>
        <w:rPr>
          <w:rFonts w:ascii="Calibri" w:cs="Calibri" w:eastAsia="Calibri" w:hAnsi="Calibri"/>
          <w:b/>
          <w:bCs/>
          <w:i w:val="false"/>
          <w:iCs w:val="false"/>
          <w:strike w:val="false"/>
          <w:color w:val="2B5797"/>
          <w:sz w:val="22"/>
          <w:szCs w:val="22"/>
        </w:rPr>
        <w:t xml:space="preserve">5.</w:t>
      </w:r>
      <w:r>
        <w:rPr>
          <w:rFonts w:ascii="Calibri" w:cs="Calibri" w:eastAsia="Calibri" w:hAnsi="Calibri"/>
          <w:b w:val="false"/>
          <w:bCs w:val="false"/>
          <w:i w:val="false"/>
          <w:iCs w:val="false"/>
          <w:strike w:val="false"/>
          <w:color w:val="000000"/>
          <w:sz w:val="21"/>
          <w:szCs w:val="21"/>
        </w:rPr>
        <w:t xml:space="preserve"> Security Attributes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5.1</w:t>
      </w:r>
      <w:r>
        <w:rPr>
          <w:rFonts w:ascii="Calibri" w:cs="Calibri" w:eastAsia="Calibri" w:hAnsi="Calibri"/>
          <w:b w:val="false"/>
          <w:bCs w:val="false"/>
          <w:i w:val="false"/>
          <w:iCs w:val="false"/>
          <w:strike w:val="false"/>
          <w:color w:val="000000"/>
          <w:sz w:val="20"/>
          <w:szCs w:val="20"/>
        </w:rPr>
        <w:t xml:space="preserve"> File Security Attributes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5.2</w:t>
      </w:r>
      <w:r>
        <w:rPr>
          <w:rFonts w:ascii="Calibri" w:cs="Calibri" w:eastAsia="Calibri" w:hAnsi="Calibri"/>
          <w:b w:val="false"/>
          <w:bCs w:val="false"/>
          <w:i w:val="false"/>
          <w:iCs w:val="false"/>
          <w:strike w:val="false"/>
          <w:color w:val="000000"/>
          <w:sz w:val="20"/>
          <w:szCs w:val="20"/>
        </w:rPr>
        <w:t xml:space="preserve"> Program Security Attributes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5.3</w:t>
      </w:r>
      <w:r>
        <w:rPr>
          <w:rFonts w:ascii="Calibri" w:cs="Calibri" w:eastAsia="Calibri" w:hAnsi="Calibri"/>
          <w:b w:val="false"/>
          <w:bCs w:val="false"/>
          <w:i w:val="false"/>
          <w:iCs w:val="false"/>
          <w:strike w:val="false"/>
          <w:color w:val="000000"/>
          <w:sz w:val="20"/>
          <w:szCs w:val="20"/>
        </w:rPr>
        <w:t xml:space="preserve"> Attribute Immutability</w:t>
      </w:r>
    </w:p>
    <w:p>
      <w:pPr>
        <w:spacing w:after="60" w:before="60" w:line="360" w:lineRule="auto"/>
      </w:pPr>
      <w:r>
        <w:rPr>
          <w:rFonts w:ascii="Calibri" w:cs="Calibri" w:eastAsia="Calibri" w:hAnsi="Calibri"/>
          <w:b/>
          <w:bCs/>
          <w:i w:val="false"/>
          <w:iCs w:val="false"/>
          <w:strike w:val="false"/>
          <w:color w:val="2B5797"/>
          <w:sz w:val="22"/>
          <w:szCs w:val="22"/>
        </w:rPr>
        <w:t xml:space="preserve">6.</w:t>
      </w:r>
      <w:r>
        <w:rPr>
          <w:rFonts w:ascii="Calibri" w:cs="Calibri" w:eastAsia="Calibri" w:hAnsi="Calibri"/>
          <w:b w:val="false"/>
          <w:bCs w:val="false"/>
          <w:i w:val="false"/>
          <w:iCs w:val="false"/>
          <w:strike w:val="false"/>
          <w:color w:val="000000"/>
          <w:sz w:val="21"/>
          <w:szCs w:val="21"/>
        </w:rPr>
        <w:t xml:space="preserve"> Operating Modes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6.1</w:t>
      </w:r>
      <w:r>
        <w:rPr>
          <w:rFonts w:ascii="Calibri" w:cs="Calibri" w:eastAsia="Calibri" w:hAnsi="Calibri"/>
          <w:b w:val="false"/>
          <w:bCs w:val="false"/>
          <w:i w:val="false"/>
          <w:iCs w:val="false"/>
          <w:strike w:val="false"/>
          <w:color w:val="000000"/>
          <w:sz w:val="20"/>
          <w:szCs w:val="20"/>
        </w:rPr>
        <w:t xml:space="preserve"> Normal Mode</w:t>
      </w:r>
    </w:p>
    <w:p>
      <w:pPr>
        <w:spacing w:after="60" w:before="60" w:line="360" w:lineRule="auto"/>
        <w:ind w:left="300"/>
      </w:pPr>
      <w:r>
        <w:rPr>
          <w:rFonts w:ascii="Calibri" w:cs="Calibri" w:eastAsia="Calibri" w:hAnsi="Calibri"/>
          <w:b/>
          <w:bCs/>
          <w:i w:val="false"/>
          <w:iCs w:val="false"/>
          <w:strike w:val="false"/>
          <w:color w:val="2B5797"/>
          <w:sz w:val="22"/>
          <w:szCs w:val="22"/>
        </w:rPr>
        <w:t xml:space="preserve">6.2</w:t>
      </w:r>
      <w:r>
        <w:rPr>
          <w:rFonts w:ascii="Calibri" w:cs="Calibri" w:eastAsia="Calibri" w:hAnsi="Calibri"/>
          <w:b w:val="false"/>
          <w:bCs w:val="false"/>
          <w:i w:val="false"/>
          <w:iCs w:val="false"/>
          <w:strike w:val="false"/>
          <w:color w:val="000000"/>
          <w:sz w:val="20"/>
          <w:szCs w:val="20"/>
        </w:rPr>
        <w:t xml:space="preserve"> Maintenance Mode</w:t>
      </w:r>
    </w:p>
    <w:p>
      <w:pPr>
        <w:spacing w:after="60" w:before="60" w:line="360" w:lineRule="auto"/>
        <w:ind w:left="300"/>
      </w:pPr>
      <w:r>
        <w:rPr>
          <w:rFonts w:ascii="Calibri" w:cs="Calibri" w:eastAsia="Calibri" w:hAnsi="Calibri"/>
          <w:b/>
          <w:bCs/>
          <w:i w:val="false"/>
          <w:iCs w:val="false"/>
          <w:strike w:val="false"/>
          <w:color w:val="2B5797"/>
          <w:sz w:val="22"/>
          <w:szCs w:val="22"/>
        </w:rPr>
        <w:t xml:space="preserve">6.3</w:t>
      </w:r>
      <w:r>
        <w:rPr>
          <w:rFonts w:ascii="Calibri" w:cs="Calibri" w:eastAsia="Calibri" w:hAnsi="Calibri"/>
          <w:b w:val="false"/>
          <w:bCs w:val="false"/>
          <w:i w:val="false"/>
          <w:iCs w:val="false"/>
          <w:strike w:val="false"/>
          <w:color w:val="000000"/>
          <w:sz w:val="20"/>
          <w:szCs w:val="20"/>
        </w:rPr>
        <w:t xml:space="preserve"> Mode Transition Diagram</w:t>
      </w:r>
    </w:p>
    <w:p>
      <w:pPr>
        <w:spacing w:after="60" w:before="60" w:line="360" w:lineRule="auto"/>
      </w:pPr>
      <w:r>
        <w:rPr>
          <w:rFonts w:ascii="Calibri" w:cs="Calibri" w:eastAsia="Calibri" w:hAnsi="Calibri"/>
          <w:b/>
          <w:bCs/>
          <w:i w:val="false"/>
          <w:iCs w:val="false"/>
          <w:strike w:val="false"/>
          <w:color w:val="2B5797"/>
          <w:sz w:val="22"/>
          <w:szCs w:val="22"/>
        </w:rPr>
        <w:t xml:space="preserve">7.</w:t>
      </w:r>
      <w:r>
        <w:rPr>
          <w:rFonts w:ascii="Calibri" w:cs="Calibri" w:eastAsia="Calibri" w:hAnsi="Calibri"/>
          <w:b w:val="false"/>
          <w:bCs w:val="false"/>
          <w:i w:val="false"/>
          <w:iCs w:val="false"/>
          <w:strike w:val="false"/>
          <w:color w:val="000000"/>
          <w:sz w:val="21"/>
          <w:szCs w:val="21"/>
        </w:rPr>
        <w:t xml:space="preserve"> Role Separation</w:t>
      </w:r>
    </w:p>
    <w:p>
      <w:pPr>
        <w:spacing w:after="60" w:before="60" w:line="360" w:lineRule="auto"/>
        <w:ind w:left="300"/>
      </w:pPr>
      <w:r>
        <w:rPr>
          <w:rFonts w:ascii="Calibri" w:cs="Calibri" w:eastAsia="Calibri" w:hAnsi="Calibri"/>
          <w:b/>
          <w:bCs/>
          <w:i w:val="false"/>
          <w:iCs w:val="false"/>
          <w:strike w:val="false"/>
          <w:color w:val="2B5797"/>
          <w:sz w:val="22"/>
          <w:szCs w:val="22"/>
        </w:rPr>
        <w:t xml:space="preserve">7.1</w:t>
      </w:r>
      <w:r>
        <w:rPr>
          <w:rFonts w:ascii="Calibri" w:cs="Calibri" w:eastAsia="Calibri" w:hAnsi="Calibri"/>
          <w:b w:val="false"/>
          <w:bCs w:val="false"/>
          <w:i w:val="false"/>
          <w:iCs w:val="false"/>
          <w:strike w:val="false"/>
          <w:color w:val="000000"/>
          <w:sz w:val="20"/>
          <w:szCs w:val="20"/>
        </w:rPr>
        <w:t xml:space="preserve"> Role Definitions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7.2</w:t>
      </w:r>
      <w:r>
        <w:rPr>
          <w:rFonts w:ascii="Calibri" w:cs="Calibri" w:eastAsia="Calibri" w:hAnsi="Calibri"/>
          <w:b w:val="false"/>
          <w:bCs w:val="false"/>
          <w:i w:val="false"/>
          <w:iCs w:val="false"/>
          <w:strike w:val="false"/>
          <w:color w:val="000000"/>
          <w:sz w:val="20"/>
          <w:szCs w:val="20"/>
        </w:rPr>
        <w:t xml:space="preserve"> Role Separation Enforcement</w:t>
      </w:r>
    </w:p>
    <w:p>
      <w:pPr>
        <w:spacing w:after="60" w:before="60" w:line="360" w:lineRule="auto"/>
      </w:pPr>
      <w:r>
        <w:rPr>
          <w:rFonts w:ascii="Calibri" w:cs="Calibri" w:eastAsia="Calibri" w:hAnsi="Calibri"/>
          <w:b/>
          <w:bCs/>
          <w:i w:val="false"/>
          <w:iCs w:val="false"/>
          <w:strike w:val="false"/>
          <w:color w:val="2B5797"/>
          <w:sz w:val="22"/>
          <w:szCs w:val="22"/>
        </w:rPr>
        <w:t xml:space="preserve">8.</w:t>
      </w:r>
      <w:r>
        <w:rPr>
          <w:rFonts w:ascii="Calibri" w:cs="Calibri" w:eastAsia="Calibri" w:hAnsi="Calibri"/>
          <w:b w:val="false"/>
          <w:bCs w:val="false"/>
          <w:i w:val="false"/>
          <w:iCs w:val="false"/>
          <w:strike w:val="false"/>
          <w:color w:val="000000"/>
          <w:sz w:val="21"/>
          <w:szCs w:val="21"/>
        </w:rPr>
        <w:t xml:space="preserve"> Network Architecture and IP Binding</w:t>
      </w:r>
    </w:p>
    <w:p>
      <w:pPr>
        <w:spacing w:after="60" w:before="60" w:line="360" w:lineRule="auto"/>
        <w:ind w:left="300"/>
      </w:pPr>
      <w:r>
        <w:rPr>
          <w:rFonts w:ascii="Calibri" w:cs="Calibri" w:eastAsia="Calibri" w:hAnsi="Calibri"/>
          <w:b/>
          <w:bCs/>
          <w:i w:val="false"/>
          <w:iCs w:val="false"/>
          <w:strike w:val="false"/>
          <w:color w:val="2B5797"/>
          <w:sz w:val="22"/>
          <w:szCs w:val="22"/>
        </w:rPr>
        <w:t xml:space="preserve">8.1</w:t>
      </w:r>
      <w:r>
        <w:rPr>
          <w:rFonts w:ascii="Calibri" w:cs="Calibri" w:eastAsia="Calibri" w:hAnsi="Calibri"/>
          <w:b w:val="false"/>
          <w:bCs w:val="false"/>
          <w:i w:val="false"/>
          <w:iCs w:val="false"/>
          <w:strike w:val="false"/>
          <w:color w:val="000000"/>
          <w:sz w:val="20"/>
          <w:szCs w:val="20"/>
        </w:rPr>
        <w:t xml:space="preserve"> Fixed IP per Device</w:t>
      </w:r>
    </w:p>
    <w:p>
      <w:pPr>
        <w:spacing w:after="60" w:before="60" w:line="360" w:lineRule="auto"/>
        <w:ind w:left="300"/>
      </w:pPr>
      <w:r>
        <w:rPr>
          <w:rFonts w:ascii="Calibri" w:cs="Calibri" w:eastAsia="Calibri" w:hAnsi="Calibri"/>
          <w:b/>
          <w:bCs/>
          <w:i w:val="false"/>
          <w:iCs w:val="false"/>
          <w:strike w:val="false"/>
          <w:color w:val="2B5797"/>
          <w:sz w:val="22"/>
          <w:szCs w:val="22"/>
        </w:rPr>
        <w:t xml:space="preserve">8.2</w:t>
      </w:r>
      <w:r>
        <w:rPr>
          <w:rFonts w:ascii="Calibri" w:cs="Calibri" w:eastAsia="Calibri" w:hAnsi="Calibri"/>
          <w:b w:val="false"/>
          <w:bCs w:val="false"/>
          <w:i w:val="false"/>
          <w:iCs w:val="false"/>
          <w:strike w:val="false"/>
          <w:color w:val="000000"/>
          <w:sz w:val="20"/>
          <w:szCs w:val="20"/>
        </w:rPr>
        <w:t xml:space="preserve"> Access Control Lists (IP-based ACL)</w:t>
      </w:r>
    </w:p>
    <w:p>
      <w:pPr>
        <w:spacing w:after="60" w:before="60" w:line="360" w:lineRule="auto"/>
        <w:ind w:left="300"/>
      </w:pPr>
      <w:r>
        <w:rPr>
          <w:rFonts w:ascii="Calibri" w:cs="Calibri" w:eastAsia="Calibri" w:hAnsi="Calibri"/>
          <w:b/>
          <w:bCs/>
          <w:i w:val="false"/>
          <w:iCs w:val="false"/>
          <w:strike w:val="false"/>
          <w:color w:val="2B5797"/>
          <w:sz w:val="22"/>
          <w:szCs w:val="22"/>
        </w:rPr>
        <w:t xml:space="preserve">8.3</w:t>
      </w:r>
      <w:r>
        <w:rPr>
          <w:rFonts w:ascii="Calibri" w:cs="Calibri" w:eastAsia="Calibri" w:hAnsi="Calibri"/>
          <w:b w:val="false"/>
          <w:bCs w:val="false"/>
          <w:i w:val="false"/>
          <w:iCs w:val="false"/>
          <w:strike w:val="false"/>
          <w:color w:val="000000"/>
          <w:sz w:val="20"/>
          <w:szCs w:val="20"/>
        </w:rPr>
        <w:t xml:space="preserve"> Network Zones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8.4</w:t>
      </w:r>
      <w:r>
        <w:rPr>
          <w:rFonts w:ascii="Calibri" w:cs="Calibri" w:eastAsia="Calibri" w:hAnsi="Calibri"/>
          <w:b w:val="false"/>
          <w:bCs w:val="false"/>
          <w:i w:val="false"/>
          <w:iCs w:val="false"/>
          <w:strike w:val="false"/>
          <w:color w:val="000000"/>
          <w:sz w:val="20"/>
          <w:szCs w:val="20"/>
        </w:rPr>
        <w:t xml:space="preserve"> Guest WiFi Isolation</w:t>
      </w:r>
    </w:p>
    <w:p>
      <w:pPr>
        <w:spacing w:after="60" w:before="60" w:line="360" w:lineRule="auto"/>
        <w:ind w:left="300"/>
      </w:pPr>
      <w:r>
        <w:rPr>
          <w:rFonts w:ascii="Calibri" w:cs="Calibri" w:eastAsia="Calibri" w:hAnsi="Calibri"/>
          <w:b/>
          <w:bCs/>
          <w:i w:val="false"/>
          <w:iCs w:val="false"/>
          <w:strike w:val="false"/>
          <w:color w:val="2B5797"/>
          <w:sz w:val="22"/>
          <w:szCs w:val="22"/>
        </w:rPr>
        <w:t xml:space="preserve">8.5</w:t>
      </w:r>
      <w:r>
        <w:rPr>
          <w:rFonts w:ascii="Calibri" w:cs="Calibri" w:eastAsia="Calibri" w:hAnsi="Calibri"/>
          <w:b w:val="false"/>
          <w:bCs w:val="false"/>
          <w:i w:val="false"/>
          <w:iCs w:val="false"/>
          <w:strike w:val="false"/>
          <w:color w:val="000000"/>
          <w:sz w:val="20"/>
          <w:szCs w:val="20"/>
        </w:rPr>
        <w:t xml:space="preserve"> Firewall Whitelists</w:t>
      </w:r>
    </w:p>
    <w:p>
      <w:pPr>
        <w:spacing w:after="60" w:before="60" w:line="360" w:lineRule="auto"/>
      </w:pPr>
      <w:r>
        <w:rPr>
          <w:rFonts w:ascii="Calibri" w:cs="Calibri" w:eastAsia="Calibri" w:hAnsi="Calibri"/>
          <w:b/>
          <w:bCs/>
          <w:i w:val="false"/>
          <w:iCs w:val="false"/>
          <w:strike w:val="false"/>
          <w:color w:val="2B5797"/>
          <w:sz w:val="22"/>
          <w:szCs w:val="22"/>
        </w:rPr>
        <w:t xml:space="preserve">9.</w:t>
      </w:r>
      <w:r>
        <w:rPr>
          <w:rFonts w:ascii="Calibri" w:cs="Calibri" w:eastAsia="Calibri" w:hAnsi="Calibri"/>
          <w:b w:val="false"/>
          <w:bCs w:val="false"/>
          <w:i w:val="false"/>
          <w:iCs w:val="false"/>
          <w:strike w:val="false"/>
          <w:color w:val="000000"/>
          <w:sz w:val="21"/>
          <w:szCs w:val="21"/>
        </w:rPr>
        <w:t xml:space="preserve"> Executable Whitelist</w:t>
      </w:r>
    </w:p>
    <w:p>
      <w:pPr>
        <w:spacing w:after="60" w:before="60" w:line="360" w:lineRule="auto"/>
        <w:ind w:left="300"/>
      </w:pPr>
      <w:r>
        <w:rPr>
          <w:rFonts w:ascii="Calibri" w:cs="Calibri" w:eastAsia="Calibri" w:hAnsi="Calibri"/>
          <w:b/>
          <w:bCs/>
          <w:i w:val="false"/>
          <w:iCs w:val="false"/>
          <w:strike w:val="false"/>
          <w:color w:val="2B5797"/>
          <w:sz w:val="22"/>
          <w:szCs w:val="22"/>
        </w:rPr>
        <w:t xml:space="preserve">9.1</w:t>
      </w:r>
      <w:r>
        <w:rPr>
          <w:rFonts w:ascii="Calibri" w:cs="Calibri" w:eastAsia="Calibri" w:hAnsi="Calibri"/>
          <w:b w:val="false"/>
          <w:bCs w:val="false"/>
          <w:i w:val="false"/>
          <w:iCs w:val="false"/>
          <w:strike w:val="false"/>
          <w:color w:val="000000"/>
          <w:sz w:val="20"/>
          <w:szCs w:val="20"/>
        </w:rPr>
        <w:t xml:space="preserve"> Policy</w:t>
      </w:r>
    </w:p>
    <w:p>
      <w:pPr>
        <w:spacing w:after="60" w:before="60" w:line="360" w:lineRule="auto"/>
        <w:ind w:left="300"/>
      </w:pPr>
      <w:r>
        <w:rPr>
          <w:rFonts w:ascii="Calibri" w:cs="Calibri" w:eastAsia="Calibri" w:hAnsi="Calibri"/>
          <w:b/>
          <w:bCs/>
          <w:i w:val="false"/>
          <w:iCs w:val="false"/>
          <w:strike w:val="false"/>
          <w:color w:val="2B5797"/>
          <w:sz w:val="22"/>
          <w:szCs w:val="22"/>
        </w:rPr>
        <w:t xml:space="preserve">9.2</w:t>
      </w:r>
      <w:r>
        <w:rPr>
          <w:rFonts w:ascii="Calibri" w:cs="Calibri" w:eastAsia="Calibri" w:hAnsi="Calibri"/>
          <w:b w:val="false"/>
          <w:bCs w:val="false"/>
          <w:i w:val="false"/>
          <w:iCs w:val="false"/>
          <w:strike w:val="false"/>
          <w:color w:val="000000"/>
          <w:sz w:val="20"/>
          <w:szCs w:val="20"/>
        </w:rPr>
        <w:t xml:space="preserve"> Enforcement</w:t>
      </w:r>
    </w:p>
    <w:p>
      <w:pPr>
        <w:spacing w:after="60" w:before="60" w:line="360" w:lineRule="auto"/>
        <w:ind w:left="300"/>
      </w:pPr>
      <w:r>
        <w:rPr>
          <w:rFonts w:ascii="Calibri" w:cs="Calibri" w:eastAsia="Calibri" w:hAnsi="Calibri"/>
          <w:b/>
          <w:bCs/>
          <w:i w:val="false"/>
          <w:iCs w:val="false"/>
          <w:strike w:val="false"/>
          <w:color w:val="2B5797"/>
          <w:sz w:val="22"/>
          <w:szCs w:val="22"/>
        </w:rPr>
        <w:t xml:space="preserve">9.3</w:t>
      </w:r>
      <w:r>
        <w:rPr>
          <w:rFonts w:ascii="Calibri" w:cs="Calibri" w:eastAsia="Calibri" w:hAnsi="Calibri"/>
          <w:b w:val="false"/>
          <w:bCs w:val="false"/>
          <w:i w:val="false"/>
          <w:iCs w:val="false"/>
          <w:strike w:val="false"/>
          <w:color w:val="000000"/>
          <w:sz w:val="20"/>
          <w:szCs w:val="20"/>
        </w:rPr>
        <w:t xml:space="preserve"> Whitelist Management</w:t>
      </w:r>
    </w:p>
    <w:p>
      <w:pPr>
        <w:spacing w:after="60" w:before="60" w:line="360" w:lineRule="auto"/>
      </w:pPr>
      <w:r>
        <w:rPr>
          <w:rFonts w:ascii="Calibri" w:cs="Calibri" w:eastAsia="Calibri" w:hAnsi="Calibri"/>
          <w:b/>
          <w:bCs/>
          <w:i w:val="false"/>
          <w:iCs w:val="false"/>
          <w:strike w:val="false"/>
          <w:color w:val="2B5797"/>
          <w:sz w:val="22"/>
          <w:szCs w:val="22"/>
        </w:rPr>
        <w:t xml:space="preserve">10.</w:t>
      </w:r>
      <w:r>
        <w:rPr>
          <w:rFonts w:ascii="Calibri" w:cs="Calibri" w:eastAsia="Calibri" w:hAnsi="Calibri"/>
          <w:b w:val="false"/>
          <w:bCs w:val="false"/>
          <w:i w:val="false"/>
          <w:iCs w:val="false"/>
          <w:strike w:val="false"/>
          <w:color w:val="000000"/>
          <w:sz w:val="21"/>
          <w:szCs w:val="21"/>
        </w:rPr>
        <w:t xml:space="preserve"> External Device Restrictions</w:t>
      </w:r>
    </w:p>
    <w:p>
      <w:pPr>
        <w:spacing w:after="60" w:before="60" w:line="360" w:lineRule="auto"/>
      </w:pPr>
      <w:r>
        <w:rPr>
          <w:rFonts w:ascii="Calibri" w:cs="Calibri" w:eastAsia="Calibri" w:hAnsi="Calibri"/>
          <w:b/>
          <w:bCs/>
          <w:i w:val="false"/>
          <w:iCs w:val="false"/>
          <w:strike w:val="false"/>
          <w:color w:val="2B5797"/>
          <w:sz w:val="22"/>
          <w:szCs w:val="22"/>
        </w:rPr>
        <w:t xml:space="preserve">11.</w:t>
      </w:r>
      <w:r>
        <w:rPr>
          <w:rFonts w:ascii="Calibri" w:cs="Calibri" w:eastAsia="Calibri" w:hAnsi="Calibri"/>
          <w:b w:val="false"/>
          <w:bCs w:val="false"/>
          <w:i w:val="false"/>
          <w:iCs w:val="false"/>
          <w:strike w:val="false"/>
          <w:color w:val="000000"/>
          <w:sz w:val="21"/>
          <w:szCs w:val="21"/>
        </w:rPr>
        <w:t xml:space="preserve"> Backup Domain</w:t>
      </w:r>
    </w:p>
    <w:p>
      <w:pPr>
        <w:spacing w:after="60" w:before="60" w:line="360" w:lineRule="auto"/>
        <w:ind w:left="300"/>
      </w:pPr>
      <w:r>
        <w:rPr>
          <w:rFonts w:ascii="Calibri" w:cs="Calibri" w:eastAsia="Calibri" w:hAnsi="Calibri"/>
          <w:b/>
          <w:bCs/>
          <w:i w:val="false"/>
          <w:iCs w:val="false"/>
          <w:strike w:val="false"/>
          <w:color w:val="2B5797"/>
          <w:sz w:val="22"/>
          <w:szCs w:val="22"/>
        </w:rPr>
        <w:t xml:space="preserve">11.1</w:t>
      </w:r>
      <w:r>
        <w:rPr>
          <w:rFonts w:ascii="Calibri" w:cs="Calibri" w:eastAsia="Calibri" w:hAnsi="Calibri"/>
          <w:b w:val="false"/>
          <w:bCs w:val="false"/>
          <w:i w:val="false"/>
          <w:iCs w:val="false"/>
          <w:strike w:val="false"/>
          <w:color w:val="000000"/>
          <w:sz w:val="20"/>
          <w:szCs w:val="20"/>
        </w:rPr>
        <w:t xml:space="preserve"> Architecture</w:t>
      </w:r>
    </w:p>
    <w:p>
      <w:pPr>
        <w:spacing w:after="60" w:before="60" w:line="360" w:lineRule="auto"/>
        <w:ind w:left="300"/>
      </w:pPr>
      <w:r>
        <w:rPr>
          <w:rFonts w:ascii="Calibri" w:cs="Calibri" w:eastAsia="Calibri" w:hAnsi="Calibri"/>
          <w:b/>
          <w:bCs/>
          <w:i w:val="false"/>
          <w:iCs w:val="false"/>
          <w:strike w:val="false"/>
          <w:color w:val="2B5797"/>
          <w:sz w:val="22"/>
          <w:szCs w:val="22"/>
        </w:rPr>
        <w:t xml:space="preserve">11.2</w:t>
      </w:r>
      <w:r>
        <w:rPr>
          <w:rFonts w:ascii="Calibri" w:cs="Calibri" w:eastAsia="Calibri" w:hAnsi="Calibri"/>
          <w:b w:val="false"/>
          <w:bCs w:val="false"/>
          <w:i w:val="false"/>
          <w:iCs w:val="false"/>
          <w:strike w:val="false"/>
          <w:color w:val="000000"/>
          <w:sz w:val="20"/>
          <w:szCs w:val="20"/>
        </w:rPr>
        <w:t xml:space="preserve"> Backup Operator Constraints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11.3</w:t>
      </w:r>
      <w:r>
        <w:rPr>
          <w:rFonts w:ascii="Calibri" w:cs="Calibri" w:eastAsia="Calibri" w:hAnsi="Calibri"/>
          <w:b w:val="false"/>
          <w:bCs w:val="false"/>
          <w:i w:val="false"/>
          <w:iCs w:val="false"/>
          <w:strike w:val="false"/>
          <w:color w:val="000000"/>
          <w:sz w:val="20"/>
          <w:szCs w:val="20"/>
        </w:rPr>
        <w:t xml:space="preserve"> Backup Data Security</w:t>
      </w:r>
    </w:p>
    <w:p>
      <w:pPr>
        <w:spacing w:after="60" w:before="60" w:line="360" w:lineRule="auto"/>
      </w:pPr>
      <w:r>
        <w:rPr>
          <w:rFonts w:ascii="Calibri" w:cs="Calibri" w:eastAsia="Calibri" w:hAnsi="Calibri"/>
          <w:b/>
          <w:bCs/>
          <w:i w:val="false"/>
          <w:iCs w:val="false"/>
          <w:strike w:val="false"/>
          <w:color w:val="2B5797"/>
          <w:sz w:val="22"/>
          <w:szCs w:val="22"/>
        </w:rPr>
        <w:t xml:space="preserve">12.</w:t>
      </w:r>
      <w:r>
        <w:rPr>
          <w:rFonts w:ascii="Calibri" w:cs="Calibri" w:eastAsia="Calibri" w:hAnsi="Calibri"/>
          <w:b w:val="false"/>
          <w:bCs w:val="false"/>
          <w:i w:val="false"/>
          <w:iCs w:val="false"/>
          <w:strike w:val="false"/>
          <w:color w:val="000000"/>
          <w:sz w:val="21"/>
          <w:szCs w:val="21"/>
        </w:rPr>
        <w:t xml:space="preserve"> Command Groups and Shell Restrictions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12.1</w:t>
      </w:r>
      <w:r>
        <w:rPr>
          <w:rFonts w:ascii="Calibri" w:cs="Calibri" w:eastAsia="Calibri" w:hAnsi="Calibri"/>
          <w:b w:val="false"/>
          <w:bCs w:val="false"/>
          <w:i w:val="false"/>
          <w:iCs w:val="false"/>
          <w:strike w:val="false"/>
          <w:color w:val="000000"/>
          <w:sz w:val="20"/>
          <w:szCs w:val="20"/>
        </w:rPr>
        <w:t xml:space="preserve"> Command Groups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12.2</w:t>
      </w:r>
      <w:r>
        <w:rPr>
          <w:rFonts w:ascii="Calibri" w:cs="Calibri" w:eastAsia="Calibri" w:hAnsi="Calibri"/>
          <w:b w:val="false"/>
          <w:bCs w:val="false"/>
          <w:i w:val="false"/>
          <w:iCs w:val="false"/>
          <w:strike w:val="false"/>
          <w:color w:val="000000"/>
          <w:sz w:val="20"/>
          <w:szCs w:val="20"/>
        </w:rPr>
        <w:t xml:space="preserve"> Shell Restrictions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12.3</w:t>
      </w:r>
      <w:r>
        <w:rPr>
          <w:rFonts w:ascii="Calibri" w:cs="Calibri" w:eastAsia="Calibri" w:hAnsi="Calibri"/>
          <w:b w:val="false"/>
          <w:bCs w:val="false"/>
          <w:i w:val="false"/>
          <w:iCs w:val="false"/>
          <w:strike w:val="false"/>
          <w:color w:val="000000"/>
          <w:sz w:val="20"/>
          <w:szCs w:val="20"/>
        </w:rPr>
        <w:t xml:space="preserve"> Kernel Mediation of Commands</w:t>
      </w:r>
    </w:p>
    <w:p>
      <w:pPr>
        <w:spacing w:after="60" w:before="60" w:line="360" w:lineRule="auto"/>
      </w:pPr>
      <w:r>
        <w:rPr>
          <w:rFonts w:ascii="Calibri" w:cs="Calibri" w:eastAsia="Calibri" w:hAnsi="Calibri"/>
          <w:b/>
          <w:bCs/>
          <w:i w:val="false"/>
          <w:iCs w:val="false"/>
          <w:strike w:val="false"/>
          <w:color w:val="2B5797"/>
          <w:sz w:val="22"/>
          <w:szCs w:val="22"/>
        </w:rPr>
        <w:t xml:space="preserve">13.</w:t>
      </w:r>
      <w:r>
        <w:rPr>
          <w:rFonts w:ascii="Calibri" w:cs="Calibri" w:eastAsia="Calibri" w:hAnsi="Calibri"/>
          <w:b w:val="false"/>
          <w:bCs w:val="false"/>
          <w:i w:val="false"/>
          <w:iCs w:val="false"/>
          <w:strike w:val="false"/>
          <w:color w:val="000000"/>
          <w:sz w:val="21"/>
          <w:szCs w:val="21"/>
        </w:rPr>
        <w:t xml:space="preserve"> Auditing and AI-Assisted Analysis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13.1</w:t>
      </w:r>
      <w:r>
        <w:rPr>
          <w:rFonts w:ascii="Calibri" w:cs="Calibri" w:eastAsia="Calibri" w:hAnsi="Calibri"/>
          <w:b w:val="false"/>
          <w:bCs w:val="false"/>
          <w:i w:val="false"/>
          <w:iCs w:val="false"/>
          <w:strike w:val="false"/>
          <w:color w:val="000000"/>
          <w:sz w:val="20"/>
          <w:szCs w:val="20"/>
        </w:rPr>
        <w:t xml:space="preserve"> Audit Log Architecture</w:t>
      </w:r>
    </w:p>
    <w:p>
      <w:pPr>
        <w:spacing w:after="60" w:before="60" w:line="360" w:lineRule="auto"/>
        <w:ind w:left="300"/>
      </w:pPr>
      <w:r>
        <w:rPr>
          <w:rFonts w:ascii="Calibri" w:cs="Calibri" w:eastAsia="Calibri" w:hAnsi="Calibri"/>
          <w:b/>
          <w:bCs/>
          <w:i w:val="false"/>
          <w:iCs w:val="false"/>
          <w:strike w:val="false"/>
          <w:color w:val="2B5797"/>
          <w:sz w:val="22"/>
          <w:szCs w:val="22"/>
        </w:rPr>
        <w:t xml:space="preserve">13.2</w:t>
      </w:r>
      <w:r>
        <w:rPr>
          <w:rFonts w:ascii="Calibri" w:cs="Calibri" w:eastAsia="Calibri" w:hAnsi="Calibri"/>
          <w:b w:val="false"/>
          <w:bCs w:val="false"/>
          <w:i w:val="false"/>
          <w:iCs w:val="false"/>
          <w:strike w:val="false"/>
          <w:color w:val="000000"/>
          <w:sz w:val="20"/>
          <w:szCs w:val="20"/>
        </w:rPr>
        <w:t xml:space="preserve"> Logged Events</w:t>
      </w:r>
    </w:p>
    <w:p>
      <w:pPr>
        <w:spacing w:after="60" w:before="60" w:line="360" w:lineRule="auto"/>
        <w:ind w:left="300"/>
      </w:pPr>
      <w:r>
        <w:rPr>
          <w:rFonts w:ascii="Calibri" w:cs="Calibri" w:eastAsia="Calibri" w:hAnsi="Calibri"/>
          <w:b/>
          <w:bCs/>
          <w:i w:val="false"/>
          <w:iCs w:val="false"/>
          <w:strike w:val="false"/>
          <w:color w:val="2B5797"/>
          <w:sz w:val="22"/>
          <w:szCs w:val="22"/>
        </w:rPr>
        <w:t xml:space="preserve">13.3</w:t>
      </w:r>
      <w:r>
        <w:rPr>
          <w:rFonts w:ascii="Calibri" w:cs="Calibri" w:eastAsia="Calibri" w:hAnsi="Calibri"/>
          <w:b w:val="false"/>
          <w:bCs w:val="false"/>
          <w:i w:val="false"/>
          <w:iCs w:val="false"/>
          <w:strike w:val="false"/>
          <w:color w:val="000000"/>
          <w:sz w:val="20"/>
          <w:szCs w:val="20"/>
        </w:rPr>
        <w:t xml:space="preserve"> AI-Assisted Anomaly Detection</w:t>
      </w:r>
    </w:p>
    <w:p>
      <w:pPr>
        <w:spacing w:after="60" w:before="60" w:line="360" w:lineRule="auto"/>
      </w:pPr>
      <w:r>
        <w:rPr>
          <w:rFonts w:ascii="Calibri" w:cs="Calibri" w:eastAsia="Calibri" w:hAnsi="Calibri"/>
          <w:b/>
          <w:bCs/>
          <w:i w:val="false"/>
          <w:iCs w:val="false"/>
          <w:strike w:val="false"/>
          <w:color w:val="2B5797"/>
          <w:sz w:val="22"/>
          <w:szCs w:val="22"/>
        </w:rPr>
        <w:t xml:space="preserve">14.</w:t>
      </w:r>
      <w:r>
        <w:rPr>
          <w:rFonts w:ascii="Calibri" w:cs="Calibri" w:eastAsia="Calibri" w:hAnsi="Calibri"/>
          <w:b w:val="false"/>
          <w:bCs w:val="false"/>
          <w:i w:val="false"/>
          <w:iCs w:val="false"/>
          <w:strike w:val="false"/>
          <w:color w:val="000000"/>
          <w:sz w:val="21"/>
          <w:szCs w:val="21"/>
        </w:rPr>
        <w:t xml:space="preserve"> System Architecture Overview</w:t>
      </w:r>
    </w:p>
    <w:p>
      <w:pPr>
        <w:spacing w:after="60" w:before="60" w:line="360" w:lineRule="auto"/>
      </w:pPr>
      <w:r>
        <w:rPr>
          <w:rFonts w:ascii="Calibri" w:cs="Calibri" w:eastAsia="Calibri" w:hAnsi="Calibri"/>
          <w:b/>
          <w:bCs/>
          <w:i w:val="false"/>
          <w:iCs w:val="false"/>
          <w:strike w:val="false"/>
          <w:color w:val="2B5797"/>
          <w:sz w:val="22"/>
          <w:szCs w:val="22"/>
        </w:rPr>
        <w:t xml:space="preserve">15.</w:t>
      </w:r>
      <w:r>
        <w:rPr>
          <w:rFonts w:ascii="Calibri" w:cs="Calibri" w:eastAsia="Calibri" w:hAnsi="Calibri"/>
          <w:b w:val="false"/>
          <w:bCs w:val="false"/>
          <w:i w:val="false"/>
          <w:iCs w:val="false"/>
          <w:strike w:val="false"/>
          <w:color w:val="000000"/>
          <w:sz w:val="21"/>
          <w:szCs w:val="21"/>
        </w:rPr>
        <w:t xml:space="preserve"> Enforcement Points Summary</w:t>
      </w:r>
    </w:p>
    <w:p>
      <w:pPr>
        <w:spacing w:after="60" w:before="60" w:line="360" w:lineRule="auto"/>
      </w:pPr>
      <w:r>
        <w:rPr>
          <w:rFonts w:ascii="Calibri" w:cs="Calibri" w:eastAsia="Calibri" w:hAnsi="Calibri"/>
          <w:b/>
          <w:bCs/>
          <w:i w:val="false"/>
          <w:iCs w:val="false"/>
          <w:strike w:val="false"/>
          <w:color w:val="2B5797"/>
          <w:sz w:val="22"/>
          <w:szCs w:val="22"/>
        </w:rPr>
        <w:t xml:space="preserve">16.</w:t>
      </w:r>
      <w:r>
        <w:rPr>
          <w:rFonts w:ascii="Calibri" w:cs="Calibri" w:eastAsia="Calibri" w:hAnsi="Calibri"/>
          <w:b w:val="false"/>
          <w:bCs w:val="false"/>
          <w:i w:val="false"/>
          <w:iCs w:val="false"/>
          <w:strike w:val="false"/>
          <w:color w:val="000000"/>
          <w:sz w:val="21"/>
          <w:szCs w:val="21"/>
        </w:rPr>
        <w:t xml:space="preserve"> Residual Risks and Mitigations</w:t>
      </w:r>
    </w:p>
    <w:p>
      <w:pPr>
        <w:spacing w:after="60" w:before="60" w:line="360" w:lineRule="auto"/>
      </w:pPr>
      <w:r>
        <w:rPr>
          <w:rFonts w:ascii="Calibri" w:cs="Calibri" w:eastAsia="Calibri" w:hAnsi="Calibri"/>
          <w:b/>
          <w:bCs/>
          <w:i w:val="false"/>
          <w:iCs w:val="false"/>
          <w:strike w:val="false"/>
          <w:color w:val="2B5797"/>
          <w:sz w:val="22"/>
          <w:szCs w:val="22"/>
        </w:rPr>
        <w:t xml:space="preserve">17.</w:t>
      </w:r>
      <w:r>
        <w:rPr>
          <w:rFonts w:ascii="Calibri" w:cs="Calibri" w:eastAsia="Calibri" w:hAnsi="Calibri"/>
          <w:b w:val="false"/>
          <w:bCs w:val="false"/>
          <w:i w:val="false"/>
          <w:iCs w:val="false"/>
          <w:strike w:val="false"/>
          <w:color w:val="000000"/>
          <w:sz w:val="21"/>
          <w:szCs w:val="21"/>
        </w:rPr>
        <w:t xml:space="preserve"> Glossary</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1. Executive Summary</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This document specifies the architecture of the Insider-Safe Computing System (ISCS), a security architecture designed from first principles to neutralize insider threats within a high-assurance computing environment. The system employs a layered, kernel-mediated security model that combines mandatory access control, cryptographic session binding, strict role separation, network isolation, immutable security attributes, and AI-assisted audit analysis to ensure that no insider — regardless of privilege level — can compromise the confidentiality, integrity, or availability of protected resources without detection and enforcement response.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architecture operates on a foundational assumption that the threat originates from within the organization: users with legitimate credentials, physical or network access to systems, and detailed knowledge of the environment. The target adversary class explicitly includes privileged insiders such as system administrators, application administrators, backup operators, and developers. Controls are specifically designed to constrain these roles, not merely to defend against external actors.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 defining characteristic of the ISCS is that no single role holds unconstrained access. The system administrator cannot read application data. The application administrator cannot modify the operating system. The backup operator cannot access production file contents directly. The end user cannot modify their own security attributes. Every sensitive operation either requires the cooperation of multiple authorized parties (dual authorization) or is structurally impossible due to kernel-enforced boundaries.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Key mechanisms include:</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Trust Tickets</w:t>
      </w:r>
      <w:r>
        <w:rPr>
          <w:rFonts w:ascii="Calibri" w:cs="Calibri" w:eastAsia="Calibri" w:hAnsi="Calibri"/>
          <w:b w:val="false"/>
          <w:bCs w:val="false"/>
          <w:i w:val="false"/>
          <w:iCs w:val="false"/>
          <w:strike w:val="false"/>
          <w:color w:val="000000"/>
          <w:sz w:val="22"/>
          <w:szCs w:val="22"/>
        </w:rPr>
        <w:t xml:space="preserve"> — cryptographically signed session tokens binding user identity, source IP address, device fingerprint, and a time token; access to any resource requires a current valid ticket</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Kernel Mandatory Access Control (MAC)</w:t>
      </w:r>
      <w:r>
        <w:rPr>
          <w:rFonts w:ascii="Calibri" w:cs="Calibri" w:eastAsia="Calibri" w:hAnsi="Calibri"/>
          <w:b w:val="false"/>
          <w:bCs w:val="false"/>
          <w:i w:val="false"/>
          <w:iCs w:val="false"/>
          <w:strike w:val="false"/>
          <w:color w:val="000000"/>
          <w:sz w:val="22"/>
          <w:szCs w:val="22"/>
        </w:rPr>
        <w:t xml:space="preserve"> — file and program security attributes are enforced at the kernel layer, not at the application or user layer, and are immutable during normal operation</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Fixed IP Binding and Network ACLs</w:t>
      </w:r>
      <w:r>
        <w:rPr>
          <w:rFonts w:ascii="Calibri" w:cs="Calibri" w:eastAsia="Calibri" w:hAnsi="Calibri"/>
          <w:b w:val="false"/>
          <w:bCs w:val="false"/>
          <w:i w:val="false"/>
          <w:iCs w:val="false"/>
          <w:strike w:val="false"/>
          <w:color w:val="000000"/>
          <w:sz w:val="22"/>
          <w:szCs w:val="22"/>
        </w:rPr>
        <w:t xml:space="preserve"> — devices are assigned permanent registered IP addresses; connections from unregistered addresses are rejected at both network and kernel layers</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Executable Whitelisting</w:t>
      </w:r>
      <w:r>
        <w:rPr>
          <w:rFonts w:ascii="Calibri" w:cs="Calibri" w:eastAsia="Calibri" w:hAnsi="Calibri"/>
          <w:b w:val="false"/>
          <w:bCs w:val="false"/>
          <w:i w:val="false"/>
          <w:iCs w:val="false"/>
          <w:strike w:val="false"/>
          <w:color w:val="000000"/>
          <w:sz w:val="22"/>
          <w:szCs w:val="22"/>
        </w:rPr>
        <w:t xml:space="preserve"> — only kernel-approved, hash-verified, digitally signed executables may run on production systems</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Maintenance Mode Gate</w:t>
      </w:r>
      <w:r>
        <w:rPr>
          <w:rFonts w:ascii="Calibri" w:cs="Calibri" w:eastAsia="Calibri" w:hAnsi="Calibri"/>
          <w:b w:val="false"/>
          <w:bCs w:val="false"/>
          <w:i w:val="false"/>
          <w:iCs w:val="false"/>
          <w:strike w:val="false"/>
          <w:color w:val="000000"/>
          <w:sz w:val="22"/>
          <w:szCs w:val="22"/>
        </w:rPr>
        <w:t xml:space="preserve"> — security attribute modification is only possible in a separate, time-limited, dual-authorized, fully audited maintenance mode</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Append-Only Cryptographic Audit Logs</w:t>
      </w:r>
      <w:r>
        <w:rPr>
          <w:rFonts w:ascii="Calibri" w:cs="Calibri" w:eastAsia="Calibri" w:hAnsi="Calibri"/>
          <w:b w:val="false"/>
          <w:bCs w:val="false"/>
          <w:i w:val="false"/>
          <w:iCs w:val="false"/>
          <w:strike w:val="false"/>
          <w:color w:val="000000"/>
          <w:sz w:val="22"/>
          <w:szCs w:val="22"/>
        </w:rPr>
        <w:t xml:space="preserve"> — all system events are recorded in a tamper-evident, cryptographically chained log replicated to an out-of-band audit server</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AI Anomaly Detection</w:t>
      </w:r>
      <w:r>
        <w:rPr>
          <w:rFonts w:ascii="Calibri" w:cs="Calibri" w:eastAsia="Calibri" w:hAnsi="Calibri"/>
          <w:b w:val="false"/>
          <w:bCs w:val="false"/>
          <w:i w:val="false"/>
          <w:iCs w:val="false"/>
          <w:strike w:val="false"/>
          <w:color w:val="000000"/>
          <w:sz w:val="22"/>
          <w:szCs w:val="22"/>
        </w:rPr>
        <w:t xml:space="preserve"> — a real-time behavioral analysis layer processes the audit stream to identify and escalate subtle insider activity patterns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This specification is intended for senior security architects and engineers responsible for the design, implementation, validation, and audit of the ISCS. It is not a marketing document. All descriptions are written with sufficient precision to guide implementation decisions. Ambiguity in the specification is itself a security risk and has been deliberately minimized.</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2. Threat Model</w:t>
      </w:r>
    </w:p>
    <w:p>
      <w:pPr>
        <w:pStyle w:val="Heading2"/>
        <w:spacing w:after="120" w:before="360" w:line="312" w:lineRule="auto"/>
      </w:pPr>
      <w:r>
        <w:rPr>
          <w:rFonts w:ascii="Calibri" w:cs="Calibri" w:eastAsia="Calibri" w:hAnsi="Calibri"/>
          <w:color w:val="1A1A1A"/>
          <w:sz w:val="36"/>
          <w:szCs w:val="36"/>
        </w:rPr>
        <w:t xml:space="preserve">2.1 Adversary Profile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primary adversary modeled by the ISCS is the insider threat: a user who possesses legitimate credentials and has been granted authorized access to some subset of system resources. The insider may act with malicious intent, may be compromised by an external actor, or may be operating under coercion. The following categories are within scope:</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14%"/>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Category</w:t>
            </w:r>
          </w:p>
        </w:tc>
        <w:tc>
          <w:tcPr>
            <w:tcW w:type="pct" w:w="49%"/>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Description</w:t>
            </w:r>
          </w:p>
        </w:tc>
        <w:tc>
          <w:tcPr>
            <w:tcW w:type="pct" w:w="37%"/>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Example Capability</w:t>
            </w:r>
          </w:p>
        </w:tc>
      </w:tr>
      <w:tr>
        <w:trPr>
          <w:tblHeader w:val="false"/>
        </w:trPr>
        <w:tc>
          <w:tcPr>
            <w:tcW w:type="pct" w:w="14%"/>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Malicious Employee</w:t>
            </w:r>
          </w:p>
        </w:tc>
        <w:tc>
          <w:tcPr>
            <w:tcW w:type="pct" w:w="4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An authorized user who deliberately misuses their access for personal gain, sabotage, or espionage</w:t>
            </w:r>
          </w:p>
        </w:tc>
        <w:tc>
          <w:tcPr>
            <w:tcW w:type="pct" w:w="3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Valid credentials, knowledge of file locations, access to assigned resources</w:t>
            </w:r>
          </w:p>
        </w:tc>
      </w:tr>
      <w:tr>
        <w:trPr>
          <w:tblHeader w:val="false"/>
        </w:trPr>
        <w:tc>
          <w:tcPr>
            <w:tcW w:type="pct" w:w="14%"/>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Compromised Account</w:t>
            </w:r>
          </w:p>
        </w:tc>
        <w:tc>
          <w:tcPr>
            <w:tcW w:type="pct" w:w="4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 legitimate account whose credentials have been stolen by an external attacker or malware</w:t>
            </w:r>
          </w:p>
        </w:tc>
        <w:tc>
          <w:tcPr>
            <w:tcW w:type="pct" w:w="3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Valid username and password; may lack device fingerprint and IP binding</w:t>
            </w:r>
          </w:p>
        </w:tc>
      </w:tr>
      <w:tr>
        <w:trPr>
          <w:tblHeader w:val="false"/>
        </w:trPr>
        <w:tc>
          <w:tcPr>
            <w:tcW w:type="pct" w:w="14%"/>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Coerced User</w:t>
            </w:r>
          </w:p>
        </w:tc>
        <w:tc>
          <w:tcPr>
            <w:tcW w:type="pct" w:w="4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An authorized user acting under external pressure or duress to perform unauthorized actions</w:t>
            </w:r>
          </w:p>
        </w:tc>
        <w:tc>
          <w:tcPr>
            <w:tcW w:type="pct" w:w="3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Full legitimate access for their role; may attempt to act outside normal patterns</w:t>
            </w:r>
          </w:p>
        </w:tc>
      </w:tr>
      <w:tr>
        <w:trPr>
          <w:tblHeader w:val="false"/>
        </w:trPr>
        <w:tc>
          <w:tcPr>
            <w:tcW w:type="pct" w:w="14%"/>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Rogue Administrator</w:t>
            </w:r>
          </w:p>
        </w:tc>
        <w:tc>
          <w:tcPr>
            <w:tcW w:type="pct" w:w="4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 privileged user — system admin, application admin, or backup operator — who attempts to exceed their defined role boundaries</w:t>
            </w:r>
          </w:p>
        </w:tc>
        <w:tc>
          <w:tcPr>
            <w:tcW w:type="pct" w:w="3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Elevated privileges within their domain; may have access to infrastructure-level tools</w:t>
            </w:r>
          </w:p>
        </w:tc>
      </w:tr>
    </w:tbl>
    <w:p>
      <w:pPr>
        <w:spacing w:after="200" w:before="0"/>
      </w:pP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adversary is assumed to possess: valid credentials for their assigned account; detailed knowledge of the system layout and data locations; access to resources assigned to their role; and potentially elevated privileges within their role domain. The adversary is NOT assumed to control the kernel, hardware, or the out-of-band audit server.</w:t>
      </w:r>
    </w:p>
    <w:p>
      <w:pPr>
        <w:pStyle w:val="Heading2"/>
        <w:spacing w:after="120" w:before="360" w:line="312" w:lineRule="auto"/>
      </w:pPr>
      <w:r>
        <w:rPr>
          <w:rFonts w:ascii="Calibri" w:cs="Calibri" w:eastAsia="Calibri" w:hAnsi="Calibri"/>
          <w:color w:val="1A1A1A"/>
          <w:sz w:val="36"/>
          <w:szCs w:val="36"/>
        </w:rPr>
        <w:t xml:space="preserve">2.2 Threat Scenarios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following threat scenarios define the specific attack vectors the ISCS is designed to defeat. Each scenario specifies the attacker capability assumed and the enforcement mechanism that defeats it.</w:t>
      </w:r>
    </w:p>
    <w:p>
      <w:pPr>
        <w:spacing w:after="120" w:before="60" w:line="360" w:lineRule="auto"/>
      </w:pPr>
      <w:r>
        <w:rPr>
          <w:rFonts w:ascii="Calibri" w:cs="Calibri" w:eastAsia="Calibri" w:hAnsi="Calibri"/>
          <w:b/>
          <w:bCs/>
          <w:i w:val="false"/>
          <w:iCs w:val="false"/>
          <w:strike w:val="false"/>
          <w:color w:val="000000"/>
          <w:sz w:val="22"/>
          <w:szCs w:val="22"/>
        </w:rPr>
        <w:t xml:space="preserve">Privileged Credential Theft.</w:t>
      </w:r>
      <w:r>
        <w:rPr>
          <w:rFonts w:ascii="Calibri" w:cs="Calibri" w:eastAsia="Calibri" w:hAnsi="Calibri"/>
          <w:b w:val="false"/>
          <w:bCs w:val="false"/>
          <w:i w:val="false"/>
          <w:iCs w:val="false"/>
          <w:strike w:val="false"/>
          <w:color w:val="000000"/>
          <w:sz w:val="22"/>
          <w:szCs w:val="22"/>
        </w:rPr>
        <w:t xml:space="preserve"> An attacker obtains a valid administrator username and password — through phishing, keylogging, or database breach. Possession of credentials alone is insufficient to authenticate. The Trust Ticket engine requires correct IP binding (only the registered device IP is accepted), a valid device fingerprint (hardware attestation), and a current time token. A stolen password used from an unregistered device or IP will fail authentication at multiple independent binding checks.</w:t>
      </w:r>
    </w:p>
    <w:p>
      <w:pPr>
        <w:spacing w:after="120" w:before="60" w:line="360" w:lineRule="auto"/>
      </w:pPr>
      <w:r>
        <w:rPr>
          <w:rFonts w:ascii="Calibri" w:cs="Calibri" w:eastAsia="Calibri" w:hAnsi="Calibri"/>
          <w:b/>
          <w:bCs/>
          <w:i w:val="false"/>
          <w:iCs w:val="false"/>
          <w:strike w:val="false"/>
          <w:color w:val="000000"/>
          <w:sz w:val="22"/>
          <w:szCs w:val="22"/>
        </w:rPr>
        <w:t xml:space="preserve">Data Exfiltration via File Copy.</w:t>
      </w:r>
      <w:r>
        <w:rPr>
          <w:rFonts w:ascii="Calibri" w:cs="Calibri" w:eastAsia="Calibri" w:hAnsi="Calibri"/>
          <w:b w:val="false"/>
          <w:bCs w:val="false"/>
          <w:i w:val="false"/>
          <w:iCs w:val="false"/>
          <w:strike w:val="false"/>
          <w:color w:val="000000"/>
          <w:sz w:val="22"/>
          <w:szCs w:val="22"/>
        </w:rPr>
        <w:t xml:space="preserve"> A user with access to a classified file attempts to copy it to a USB drive, personal cloud storage, or unauthorized network share. This is defeated by three independent controls: the file's security attribute blocks transfer above its permitted boundary; external storage devices are blocked at the kernel driver level; and outbound network connections are restricted to an explicit firewall whitelist that excludes unauthorized destinations. All three controls must be defeated simultaneously for exfiltration to succeed.</w:t>
      </w:r>
    </w:p>
    <w:p>
      <w:pPr>
        <w:spacing w:after="120" w:before="60" w:line="360" w:lineRule="auto"/>
      </w:pPr>
      <w:r>
        <w:rPr>
          <w:rFonts w:ascii="Calibri" w:cs="Calibri" w:eastAsia="Calibri" w:hAnsi="Calibri"/>
          <w:b/>
          <w:bCs/>
          <w:i w:val="false"/>
          <w:iCs w:val="false"/>
          <w:strike w:val="false"/>
          <w:color w:val="000000"/>
          <w:sz w:val="22"/>
          <w:szCs w:val="22"/>
        </w:rPr>
        <w:t xml:space="preserve">Malicious Program Execution.</w:t>
      </w:r>
      <w:r>
        <w:rPr>
          <w:rFonts w:ascii="Calibri" w:cs="Calibri" w:eastAsia="Calibri" w:hAnsi="Calibri"/>
          <w:b w:val="false"/>
          <w:bCs w:val="false"/>
          <w:i w:val="false"/>
          <w:iCs w:val="false"/>
          <w:strike w:val="false"/>
          <w:color w:val="000000"/>
          <w:sz w:val="22"/>
          <w:szCs w:val="22"/>
        </w:rPr>
        <w:t xml:space="preserve"> An insider attempts to run an unauthorized executable — a packet capture tool, a data scraper, or custom malware — on a production workstation. The kernel checks the executable's hash against the signed whitelist and its digital signature at process creation time. Any executable not present in the whitelist or with an invalid signature is blocked from execution. The attempt is logged as a high-severity event.</w:t>
      </w:r>
    </w:p>
    <w:p>
      <w:pPr>
        <w:spacing w:after="120" w:before="60" w:line="360" w:lineRule="auto"/>
      </w:pPr>
      <w:r>
        <w:rPr>
          <w:rFonts w:ascii="Calibri" w:cs="Calibri" w:eastAsia="Calibri" w:hAnsi="Calibri"/>
          <w:b/>
          <w:bCs/>
          <w:i w:val="false"/>
          <w:iCs w:val="false"/>
          <w:strike w:val="false"/>
          <w:color w:val="000000"/>
          <w:sz w:val="22"/>
          <w:szCs w:val="22"/>
        </w:rPr>
        <w:t xml:space="preserve">Privilege Escalation via Attribute Modification.</w:t>
      </w:r>
      <w:r>
        <w:rPr>
          <w:rFonts w:ascii="Calibri" w:cs="Calibri" w:eastAsia="Calibri" w:hAnsi="Calibri"/>
          <w:b w:val="false"/>
          <w:bCs w:val="false"/>
          <w:i w:val="false"/>
          <w:iCs w:val="false"/>
          <w:strike w:val="false"/>
          <w:color w:val="000000"/>
          <w:sz w:val="22"/>
          <w:szCs w:val="22"/>
        </w:rPr>
        <w:t xml:space="preserve"> An insider attempts to elevate their own clearance level, modify their role assignment, or change a file's classification label to grant themselves access they would not otherwise have. In normal operating mode, all security attributes are immutable. They reside in a kernel-protected attribute store. Any write attempt to this store outside of maintenance mode is blocked by the kernel and generates a high-severity alert.</w:t>
      </w:r>
    </w:p>
    <w:p>
      <w:pPr>
        <w:spacing w:after="120" w:before="60" w:line="360" w:lineRule="auto"/>
      </w:pPr>
      <w:r>
        <w:rPr>
          <w:rFonts w:ascii="Calibri" w:cs="Calibri" w:eastAsia="Calibri" w:hAnsi="Calibri"/>
          <w:b/>
          <w:bCs/>
          <w:i w:val="false"/>
          <w:iCs w:val="false"/>
          <w:strike w:val="false"/>
          <w:color w:val="000000"/>
          <w:sz w:val="22"/>
          <w:szCs w:val="22"/>
        </w:rPr>
        <w:t xml:space="preserve">Backup Abuse.</w:t>
      </w:r>
      <w:r>
        <w:rPr>
          <w:rFonts w:ascii="Calibri" w:cs="Calibri" w:eastAsia="Calibri" w:hAnsi="Calibri"/>
          <w:b w:val="false"/>
          <w:bCs w:val="false"/>
          <w:i w:val="false"/>
          <w:iCs w:val="false"/>
          <w:strike w:val="false"/>
          <w:color w:val="000000"/>
          <w:sz w:val="22"/>
          <w:szCs w:val="22"/>
        </w:rPr>
        <w:t xml:space="preserve"> A backup operator attempts to access sensitive production data directly rather than through approved backup job mechanisms. Backup operators' Trust Tickets are scoped exclusively to backup domain resources. They cannot authenticate to or initiate sessions within the production zone. Even if they gain physical access to a backup storage medium, backup data is encrypted at rest under keys managed separately from production.</w:t>
      </w:r>
    </w:p>
    <w:p>
      <w:pPr>
        <w:spacing w:after="120" w:before="60" w:line="360" w:lineRule="auto"/>
      </w:pPr>
      <w:r>
        <w:rPr>
          <w:rFonts w:ascii="Calibri" w:cs="Calibri" w:eastAsia="Calibri" w:hAnsi="Calibri"/>
          <w:b/>
          <w:bCs/>
          <w:i w:val="false"/>
          <w:iCs w:val="false"/>
          <w:strike w:val="false"/>
          <w:color w:val="000000"/>
          <w:sz w:val="22"/>
          <w:szCs w:val="22"/>
        </w:rPr>
        <w:t xml:space="preserve">Lateral Movement via Network.</w:t>
      </w:r>
      <w:r>
        <w:rPr>
          <w:rFonts w:ascii="Calibri" w:cs="Calibri" w:eastAsia="Calibri" w:hAnsi="Calibri"/>
          <w:b w:val="false"/>
          <w:bCs w:val="false"/>
          <w:i w:val="false"/>
          <w:iCs w:val="false"/>
          <w:strike w:val="false"/>
          <w:color w:val="000000"/>
          <w:sz w:val="22"/>
          <w:szCs w:val="22"/>
        </w:rPr>
        <w:t xml:space="preserve"> An attacker with a foothold on one system attempts to pivot to other production hosts, file servers, or administrative interfaces. This is defeated by fixed IP binding — a session from an IP not registered to the target resource is refused — combined with IP-based ACLs that whitelist only permitted source addresses for each resource, and inbound firewall rules that drop all connection attempts from unlisted sources.</w:t>
      </w:r>
    </w:p>
    <w:p>
      <w:pPr>
        <w:spacing w:after="120" w:before="60" w:line="360" w:lineRule="auto"/>
      </w:pPr>
      <w:r>
        <w:rPr>
          <w:rFonts w:ascii="Calibri" w:cs="Calibri" w:eastAsia="Calibri" w:hAnsi="Calibri"/>
          <w:b/>
          <w:bCs/>
          <w:i w:val="false"/>
          <w:iCs w:val="false"/>
          <w:strike w:val="false"/>
          <w:color w:val="000000"/>
          <w:sz w:val="22"/>
          <w:szCs w:val="22"/>
        </w:rPr>
        <w:t xml:space="preserve">Administrative Overreach.</w:t>
      </w:r>
      <w:r>
        <w:rPr>
          <w:rFonts w:ascii="Calibri" w:cs="Calibri" w:eastAsia="Calibri" w:hAnsi="Calibri"/>
          <w:b w:val="false"/>
          <w:bCs w:val="false"/>
          <w:i w:val="false"/>
          <w:iCs w:val="false"/>
          <w:strike w:val="false"/>
          <w:color w:val="000000"/>
          <w:sz w:val="22"/>
          <w:szCs w:val="22"/>
        </w:rPr>
        <w:t xml:space="preserve"> A system administrator, who has broad OS-level access, attempts to read or copy application data, view confidential files, or modify security policy. Role separation is enforced at the kernel layer: the system admin role does not carry clearance for application data, file classification attributes are inaccessible to that role, and the executable whitelist is outside their write authority. The kernel's MAC engine evaluates role and clearance independently of OS-level privilege.</w:t>
      </w:r>
    </w:p>
    <w:p>
      <w:pPr>
        <w:spacing w:after="120" w:before="60" w:line="360" w:lineRule="auto"/>
      </w:pPr>
      <w:r>
        <w:rPr>
          <w:rFonts w:ascii="Calibri" w:cs="Calibri" w:eastAsia="Calibri" w:hAnsi="Calibri"/>
          <w:b/>
          <w:bCs/>
          <w:i w:val="false"/>
          <w:iCs w:val="false"/>
          <w:strike w:val="false"/>
          <w:color w:val="000000"/>
          <w:sz w:val="22"/>
          <w:szCs w:val="22"/>
        </w:rPr>
        <w:t xml:space="preserve">Audit Tampering.</w:t>
      </w:r>
      <w:r>
        <w:rPr>
          <w:rFonts w:ascii="Calibri" w:cs="Calibri" w:eastAsia="Calibri" w:hAnsi="Calibri"/>
          <w:b w:val="false"/>
          <w:bCs w:val="false"/>
          <w:i w:val="false"/>
          <w:iCs w:val="false"/>
          <w:strike w:val="false"/>
          <w:color w:val="000000"/>
          <w:sz w:val="22"/>
          <w:szCs w:val="22"/>
        </w:rPr>
        <w:t xml:space="preserve"> An insider, aware that their activity is being logged, attempts to delete, modify, or truncate audit log entries to conceal their actions. The audit log is append-only; deletion and modification operations are not exposed at any accessible interface. Each log entry is cryptographically chained to the previous entry, making post-hoc tampering detectable. Logs are simultaneously replicated to an out-of-band audit server, so local destruction of logs does not eliminate the record. AI anomaly detection flags any gap or discontinuity in the log chain.</w:t>
      </w:r>
    </w:p>
    <w:p>
      <w:pPr>
        <w:pStyle w:val="Heading2"/>
        <w:spacing w:after="120" w:before="360" w:line="312" w:lineRule="auto"/>
      </w:pPr>
      <w:r>
        <w:rPr>
          <w:rFonts w:ascii="Calibri" w:cs="Calibri" w:eastAsia="Calibri" w:hAnsi="Calibri"/>
          <w:color w:val="1A1A1A"/>
          <w:sz w:val="36"/>
          <w:szCs w:val="36"/>
        </w:rPr>
        <w:t xml:space="preserve">2.3 Trust Assumptions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following assumptions define the trust boundary for the ISCS. Components within the trust boundary are assumed correct. Controls protect against threats from outside these boundaries.</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Hardware is trusted.</w:t>
      </w:r>
      <w:r>
        <w:rPr>
          <w:rFonts w:ascii="Calibri" w:cs="Calibri" w:eastAsia="Calibri" w:hAnsi="Calibri"/>
          <w:b w:val="false"/>
          <w:bCs w:val="false"/>
          <w:i w:val="false"/>
          <w:iCs w:val="false"/>
          <w:strike w:val="false"/>
          <w:color w:val="000000"/>
          <w:sz w:val="22"/>
          <w:szCs w:val="22"/>
        </w:rPr>
        <w:t xml:space="preserve"> Physical security of server rooms, workstations, and network equipment is a prerequisite for this architecture. Physical tampering with hardware is outside the threat model addressed here and must be addressed by physical security controls.</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The kernel enforcement layer is trusted (TCB boundary).</w:t>
      </w:r>
      <w:r>
        <w:rPr>
          <w:rFonts w:ascii="Calibri" w:cs="Calibri" w:eastAsia="Calibri" w:hAnsi="Calibri"/>
          <w:b w:val="false"/>
          <w:bCs w:val="false"/>
          <w:i w:val="false"/>
          <w:iCs w:val="false"/>
          <w:strike w:val="false"/>
          <w:color w:val="000000"/>
          <w:sz w:val="22"/>
          <w:szCs w:val="22"/>
        </w:rPr>
        <w:t xml:space="preserve"> The kernel, including the MAC policy engine, the attribute store, and the audit write path, is part of the Trusted Computing Base. Kernel integrity is maintained via Secure Boot, TPM attestation, and periodic kernel integrity verification. Compromise of the TCB is addressed as a residual risk in Section 16.</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No single role is fully trusted.</w:t>
      </w:r>
      <w:r>
        <w:rPr>
          <w:rFonts w:ascii="Calibri" w:cs="Calibri" w:eastAsia="Calibri" w:hAnsi="Calibri"/>
          <w:b w:val="false"/>
          <w:bCs w:val="false"/>
          <w:i w:val="false"/>
          <w:iCs w:val="false"/>
          <w:strike w:val="false"/>
          <w:color w:val="000000"/>
          <w:sz w:val="22"/>
          <w:szCs w:val="22"/>
        </w:rPr>
        <w:t xml:space="preserve"> Every role — including system administrator and application administrator — is subject to enforcement controls. The architecture does not assume good faith from any individual user.</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All actions are logged; logs are tamper-evident.</w:t>
      </w:r>
      <w:r>
        <w:rPr>
          <w:rFonts w:ascii="Calibri" w:cs="Calibri" w:eastAsia="Calibri" w:hAnsi="Calibri"/>
          <w:b w:val="false"/>
          <w:bCs w:val="false"/>
          <w:i w:val="false"/>
          <w:iCs w:val="false"/>
          <w:strike w:val="false"/>
          <w:color w:val="000000"/>
          <w:sz w:val="22"/>
          <w:szCs w:val="22"/>
        </w:rPr>
        <w:t xml:space="preserve"> The integrity of the audit log is maintained cryptographically. Absence of a log entry for an action that should have been logged is itself a detectable anomaly.</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3. Core Design Principles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following principles govern all architectural decisions in the ISCS. Where implementation choices create tension between principles, the more restrictive principle takes precedence. Each principle is described in terms of its intent and how it manifests in the architecture.</w:t>
      </w:r>
    </w:p>
    <w:p>
      <w:pPr>
        <w:spacing w:after="120" w:before="60" w:line="360" w:lineRule="auto"/>
      </w:pPr>
      <w:r>
        <w:rPr>
          <w:rFonts w:ascii="Calibri" w:cs="Calibri" w:eastAsia="Calibri" w:hAnsi="Calibri"/>
          <w:b/>
          <w:bCs/>
          <w:i w:val="false"/>
          <w:iCs w:val="false"/>
          <w:strike w:val="false"/>
          <w:color w:val="000000"/>
          <w:sz w:val="22"/>
          <w:szCs w:val="22"/>
        </w:rPr>
        <w:t xml:space="preserve">Least Privilege.</w:t>
      </w:r>
      <w:r>
        <w:rPr>
          <w:rFonts w:ascii="Calibri" w:cs="Calibri" w:eastAsia="Calibri" w:hAnsi="Calibri"/>
          <w:b w:val="false"/>
          <w:bCs w:val="false"/>
          <w:i w:val="false"/>
          <w:iCs w:val="false"/>
          <w:strike w:val="false"/>
          <w:color w:val="000000"/>
          <w:sz w:val="22"/>
          <w:szCs w:val="22"/>
        </w:rPr>
        <w:t xml:space="preserve"> Every role receives the minimum set of permissions required to perform its defined functions and no more. Permissions are not inherited, not additive across roles, and not expandable by the role holder. The kernel enforces permission boundaries; role holders cannot grant themselves or others additional permissions without traversing the maintenance mode gate with dual authorization.</w:t>
      </w:r>
    </w:p>
    <w:p>
      <w:pPr>
        <w:spacing w:after="120" w:before="60" w:line="360" w:lineRule="auto"/>
      </w:pPr>
      <w:r>
        <w:rPr>
          <w:rFonts w:ascii="Calibri" w:cs="Calibri" w:eastAsia="Calibri" w:hAnsi="Calibri"/>
          <w:b/>
          <w:bCs/>
          <w:i w:val="false"/>
          <w:iCs w:val="false"/>
          <w:strike w:val="false"/>
          <w:color w:val="000000"/>
          <w:sz w:val="22"/>
          <w:szCs w:val="22"/>
        </w:rPr>
        <w:t xml:space="preserve">Separation of Duties.</w:t>
      </w:r>
      <w:r>
        <w:rPr>
          <w:rFonts w:ascii="Calibri" w:cs="Calibri" w:eastAsia="Calibri" w:hAnsi="Calibri"/>
          <w:b w:val="false"/>
          <w:bCs w:val="false"/>
          <w:i w:val="false"/>
          <w:iCs w:val="false"/>
          <w:strike w:val="false"/>
          <w:color w:val="000000"/>
          <w:sz w:val="22"/>
          <w:szCs w:val="22"/>
        </w:rPr>
        <w:t xml:space="preserve"> No single user can complete a sensitive operation unilaterally. Operations that carry high risk — such as entering maintenance mode, approving a restore of classified data, or adding an executable to the whitelist — require the explicit approval of a second authorized party from a distinct role. This ensures that even a fully rogue administrator cannot act alone.</w:t>
      </w:r>
    </w:p>
    <w:p>
      <w:pPr>
        <w:spacing w:after="120" w:before="60" w:line="360" w:lineRule="auto"/>
      </w:pPr>
      <w:r>
        <w:rPr>
          <w:rFonts w:ascii="Calibri" w:cs="Calibri" w:eastAsia="Calibri" w:hAnsi="Calibri"/>
          <w:b/>
          <w:bCs/>
          <w:i w:val="false"/>
          <w:iCs w:val="false"/>
          <w:strike w:val="false"/>
          <w:color w:val="000000"/>
          <w:sz w:val="22"/>
          <w:szCs w:val="22"/>
        </w:rPr>
        <w:t xml:space="preserve">Mandatory Access Control (MAC).</w:t>
      </w:r>
      <w:r>
        <w:rPr>
          <w:rFonts w:ascii="Calibri" w:cs="Calibri" w:eastAsia="Calibri" w:hAnsi="Calibri"/>
          <w:b w:val="false"/>
          <w:bCs w:val="false"/>
          <w:i w:val="false"/>
          <w:iCs w:val="false"/>
          <w:strike w:val="false"/>
          <w:color w:val="000000"/>
          <w:sz w:val="22"/>
          <w:szCs w:val="22"/>
        </w:rPr>
        <w:t xml:space="preserve"> Access decisions are made by the kernel based on immutable security attributes assigned to subjects (users, roles) and objects (files, programs, network resources). These labels are not under user control. A user with high clearance cannot voluntarily downgrade a file to share it with a lower-clearance user, and a user with low clearance cannot access a higher-classified file regardless of OS-level permission settings.</w:t>
      </w:r>
    </w:p>
    <w:p>
      <w:pPr>
        <w:spacing w:after="120" w:before="60" w:line="360" w:lineRule="auto"/>
      </w:pPr>
      <w:r>
        <w:rPr>
          <w:rFonts w:ascii="Calibri" w:cs="Calibri" w:eastAsia="Calibri" w:hAnsi="Calibri"/>
          <w:b/>
          <w:bCs/>
          <w:i w:val="false"/>
          <w:iCs w:val="false"/>
          <w:strike w:val="false"/>
          <w:color w:val="000000"/>
          <w:sz w:val="22"/>
          <w:szCs w:val="22"/>
        </w:rPr>
        <w:t xml:space="preserve">Defense in Depth.</w:t>
      </w:r>
      <w:r>
        <w:rPr>
          <w:rFonts w:ascii="Calibri" w:cs="Calibri" w:eastAsia="Calibri" w:hAnsi="Calibri"/>
          <w:b w:val="false"/>
          <w:bCs w:val="false"/>
          <w:i w:val="false"/>
          <w:iCs w:val="false"/>
          <w:strike w:val="false"/>
          <w:color w:val="000000"/>
          <w:sz w:val="22"/>
          <w:szCs w:val="22"/>
        </w:rPr>
        <w:t xml:space="preserve"> Multiple independent enforcement mechanisms protect each resource. There is no single enforcement point whose bypass defeats the entire system. For example, data exfiltration is prevented simultaneously by file security attributes, external device blocking, and outbound firewall whitelisting. An attacker must defeat all applicable controls in combination.</w:t>
      </w:r>
    </w:p>
    <w:p>
      <w:pPr>
        <w:spacing w:after="120" w:before="60" w:line="360" w:lineRule="auto"/>
      </w:pPr>
      <w:r>
        <w:rPr>
          <w:rFonts w:ascii="Calibri" w:cs="Calibri" w:eastAsia="Calibri" w:hAnsi="Calibri"/>
          <w:b/>
          <w:bCs/>
          <w:i w:val="false"/>
          <w:iCs w:val="false"/>
          <w:strike w:val="false"/>
          <w:color w:val="000000"/>
          <w:sz w:val="22"/>
          <w:szCs w:val="22"/>
        </w:rPr>
        <w:t xml:space="preserve">Complete Mediation.</w:t>
      </w:r>
      <w:r>
        <w:rPr>
          <w:rFonts w:ascii="Calibri" w:cs="Calibri" w:eastAsia="Calibri" w:hAnsi="Calibri"/>
          <w:b w:val="false"/>
          <w:bCs w:val="false"/>
          <w:i w:val="false"/>
          <w:iCs w:val="false"/>
          <w:strike w:val="false"/>
          <w:color w:val="000000"/>
          <w:sz w:val="22"/>
          <w:szCs w:val="22"/>
        </w:rPr>
        <w:t xml:space="preserve"> Every access attempt to every protected resource passes through the kernel MAC policy engine. There is no access path — whether through the shell, an API, a backup mechanism, or a network connection — that bypasses mediation. Mediation is enforced at the kernel layer, not at the application layer, ensuring that application-layer vulnerabilities cannot be exploited to bypass access controls.</w:t>
      </w:r>
    </w:p>
    <w:p>
      <w:pPr>
        <w:spacing w:after="120" w:before="60" w:line="360" w:lineRule="auto"/>
      </w:pPr>
      <w:r>
        <w:rPr>
          <w:rFonts w:ascii="Calibri" w:cs="Calibri" w:eastAsia="Calibri" w:hAnsi="Calibri"/>
          <w:b/>
          <w:bCs/>
          <w:i w:val="false"/>
          <w:iCs w:val="false"/>
          <w:strike w:val="false"/>
          <w:color w:val="000000"/>
          <w:sz w:val="22"/>
          <w:szCs w:val="22"/>
        </w:rPr>
        <w:t xml:space="preserve">Fail Closed.</w:t>
      </w:r>
      <w:r>
        <w:rPr>
          <w:rFonts w:ascii="Calibri" w:cs="Calibri" w:eastAsia="Calibri" w:hAnsi="Calibri"/>
          <w:b w:val="false"/>
          <w:bCs w:val="false"/>
          <w:i w:val="false"/>
          <w:iCs w:val="false"/>
          <w:strike w:val="false"/>
          <w:color w:val="000000"/>
          <w:sz w:val="22"/>
          <w:szCs w:val="22"/>
        </w:rPr>
        <w:t xml:space="preserve"> Any access request that does not match an explicitly permitted rule is denied by default. Ambiguous, malformed, or unrecognized requests are treated as denials. This principle applies to: executable launch requests for binaries not in the whitelist; connection attempts from IPs not on the ACL; and attribute modification attempts outside of maintenance mode. There are no implicit grants.</w:t>
      </w:r>
    </w:p>
    <w:p>
      <w:pPr>
        <w:spacing w:after="120" w:before="60" w:line="360" w:lineRule="auto"/>
      </w:pPr>
      <w:r>
        <w:rPr>
          <w:rFonts w:ascii="Calibri" w:cs="Calibri" w:eastAsia="Calibri" w:hAnsi="Calibri"/>
          <w:b/>
          <w:bCs/>
          <w:i w:val="false"/>
          <w:iCs w:val="false"/>
          <w:strike w:val="false"/>
          <w:color w:val="000000"/>
          <w:sz w:val="22"/>
          <w:szCs w:val="22"/>
        </w:rPr>
        <w:t xml:space="preserve">Immutability in Normal Mode.</w:t>
      </w:r>
      <w:r>
        <w:rPr>
          <w:rFonts w:ascii="Calibri" w:cs="Calibri" w:eastAsia="Calibri" w:hAnsi="Calibri"/>
          <w:b w:val="false"/>
          <w:bCs w:val="false"/>
          <w:i w:val="false"/>
          <w:iCs w:val="false"/>
          <w:strike w:val="false"/>
          <w:color w:val="000000"/>
          <w:sz w:val="22"/>
          <w:szCs w:val="22"/>
        </w:rPr>
        <w:t xml:space="preserve"> Security attributes — file classifications, program risk labels, role assignments, ACL entries — cannot be changed during normal operation. They are written to a kernel-protected attribute store. Modification is only possible during a formally entered, time-limited, dual-authorized maintenance mode session. This prevents an attacker who achieves session-level access from altering their own or others' security context.</w:t>
      </w:r>
    </w:p>
    <w:p>
      <w:pPr>
        <w:spacing w:after="120" w:before="60" w:line="360" w:lineRule="auto"/>
      </w:pPr>
      <w:r>
        <w:rPr>
          <w:rFonts w:ascii="Calibri" w:cs="Calibri" w:eastAsia="Calibri" w:hAnsi="Calibri"/>
          <w:b/>
          <w:bCs/>
          <w:i w:val="false"/>
          <w:iCs w:val="false"/>
          <w:strike w:val="false"/>
          <w:color w:val="000000"/>
          <w:sz w:val="22"/>
          <w:szCs w:val="22"/>
        </w:rPr>
        <w:t xml:space="preserve">Auditability.</w:t>
      </w:r>
      <w:r>
        <w:rPr>
          <w:rFonts w:ascii="Calibri" w:cs="Calibri" w:eastAsia="Calibri" w:hAnsi="Calibri"/>
          <w:b w:val="false"/>
          <w:bCs w:val="false"/>
          <w:i w:val="false"/>
          <w:iCs w:val="false"/>
          <w:strike w:val="false"/>
          <w:color w:val="000000"/>
          <w:sz w:val="22"/>
          <w:szCs w:val="22"/>
        </w:rPr>
        <w:t xml:space="preserve"> Every action taken by every user at every layer is logged in a tamper-evident, cryptographically chained audit log. Logs are written simultaneously to local and remote audit servers. The audit record is sufficiently detailed that a forensic analyst can reconstruct the sequence of events surrounding any incident. AI-assisted anomaly detection processes the audit stream in real time to identify patterns that rule-based systems may miss.</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4. Authentication and Session Binding (Trust Tickets)</w:t>
      </w:r>
    </w:p>
    <w:p>
      <w:pPr>
        <w:pStyle w:val="Heading2"/>
        <w:spacing w:after="120" w:before="360" w:line="312" w:lineRule="auto"/>
      </w:pPr>
      <w:r>
        <w:rPr>
          <w:rFonts w:ascii="Calibri" w:cs="Calibri" w:eastAsia="Calibri" w:hAnsi="Calibri"/>
          <w:color w:val="1A1A1A"/>
          <w:sz w:val="36"/>
          <w:szCs w:val="36"/>
        </w:rPr>
        <w:t xml:space="preserve">4.1 Overview</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ISCS uses a Trust Ticket system as the foundation of session-based access control. Upon successful multi-factor authentication, the kernel authentication service issues a cryptographically signed session token — the Trust Ticket — that binds together four distinct authentication factors. This ticket accompanies every subsequent resource access request within the session.</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Access to any protected resource is refused if the presenting Trust Ticket is absent, invalid, expired, or if any of the four binding factors no longer match the values recorded at ticket issuance. Trust Tickets are non-transferable: they are cryptographically bound to the specific device and network address from which authentication occurred. Copying or replaying a ticket from a different device or IP address will fail the binding validation.</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Trust Ticket system ensures that even if valid credentials (username and password) are stolen, the attacker cannot use them to obtain a valid Trust Ticket unless they also control the registered device with the correct hardware fingerprint, originate from the correct registered IP address, and satisfy the current time token window.</w:t>
      </w:r>
    </w:p>
    <w:p>
      <w:pPr>
        <w:pStyle w:val="Heading2"/>
        <w:spacing w:after="120" w:before="360" w:line="312" w:lineRule="auto"/>
      </w:pPr>
      <w:r>
        <w:rPr>
          <w:rFonts w:ascii="Calibri" w:cs="Calibri" w:eastAsia="Calibri" w:hAnsi="Calibri"/>
          <w:color w:val="1A1A1A"/>
          <w:sz w:val="36"/>
          <w:szCs w:val="36"/>
        </w:rPr>
        <w:t xml:space="preserve">4.2 Binding Factors</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12%"/>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Factor</w:t>
            </w:r>
          </w:p>
        </w:tc>
        <w:tc>
          <w:tcPr>
            <w:tcW w:type="pct" w:w="63%"/>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Description</w:t>
            </w:r>
          </w:p>
        </w:tc>
        <w:tc>
          <w:tcPr>
            <w:tcW w:type="pct" w:w="25%"/>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Enforcement Point</w:t>
            </w:r>
          </w:p>
        </w:tc>
      </w:tr>
      <w:tr>
        <w:trPr>
          <w:tblHeader w:val="false"/>
        </w:trPr>
        <w:tc>
          <w:tcPr>
            <w:tcW w:type="pct" w:w="1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User Identity (ID/PW)</w:t>
            </w:r>
          </w:p>
        </w:tc>
        <w:tc>
          <w:tcPr>
            <w:tcW w:type="pct" w:w="63%"/>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Username and password credential. Password must satisfy complexity and history policy. Stored as a salted cryptographic hash; never stored in plaintext.</w:t>
            </w:r>
          </w:p>
        </w:tc>
        <w:tc>
          <w:tcPr>
            <w:tcW w:type="pct" w:w="2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Authentication service (pre-kernel); credential hash comparison</w:t>
            </w:r>
          </w:p>
        </w:tc>
      </w:tr>
      <w:tr>
        <w:trPr>
          <w:tblHeader w:val="false"/>
        </w:trPr>
        <w:tc>
          <w:tcPr>
            <w:tcW w:type="pct" w:w="1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Source IP Address</w:t>
            </w:r>
          </w:p>
        </w:tc>
        <w:tc>
          <w:tcPr>
            <w:tcW w:type="pct" w:w="63%"/>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The client's network IP address at the time of authentication must exactly match the registered fixed IP associated with the authenticating device in the device registry. Dynamic IPs are not permitted for production devices.</w:t>
            </w:r>
          </w:p>
        </w:tc>
        <w:tc>
          <w:tcPr>
            <w:tcW w:type="pct" w:w="2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Network layer (pre-admission) + kernel session validator at each resource access</w:t>
            </w:r>
          </w:p>
        </w:tc>
      </w:tr>
      <w:tr>
        <w:trPr>
          <w:tblHeader w:val="false"/>
        </w:trPr>
        <w:tc>
          <w:tcPr>
            <w:tcW w:type="pct" w:w="1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Device Fingerprint</w:t>
            </w:r>
          </w:p>
        </w:tc>
        <w:tc>
          <w:tcPr>
            <w:tcW w:type="pct" w:w="63%"/>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 hardware-derived identifier for the authenticating device. May be implemented as a MAC address bound to a certificate, a TPM-backed attestation key, or a device certificate provisioned at enrollment time. The fingerprint is verified against the device registry at authentication time.</w:t>
            </w:r>
          </w:p>
        </w:tc>
        <w:tc>
          <w:tcPr>
            <w:tcW w:type="pct" w:w="2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Device registry; TPM/certificate attestation service</w:t>
            </w:r>
          </w:p>
        </w:tc>
      </w:tr>
      <w:tr>
        <w:trPr>
          <w:tblHeader w:val="false"/>
        </w:trPr>
        <w:tc>
          <w:tcPr>
            <w:tcW w:type="pct" w:w="1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Time Token</w:t>
            </w:r>
          </w:p>
        </w:tc>
        <w:tc>
          <w:tcPr>
            <w:tcW w:type="pct" w:w="63%"/>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 time-based one-time value synchronized between the device and the authentication service. The Trust Ticket carries a session validity window. Access requests outside the valid time window are rejected. The session window is non-renewable without re-authentication.</w:t>
            </w:r>
          </w:p>
        </w:tc>
        <w:tc>
          <w:tcPr>
            <w:tcW w:type="pct" w:w="2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Kernel session manager; time token validated at ticket issuance and checked at each access</w:t>
            </w:r>
          </w:p>
        </w:tc>
      </w:tr>
    </w:tbl>
    <w:p>
      <w:pPr>
        <w:spacing w:after="200" w:before="0"/>
      </w:pPr>
    </w:p>
    <w:p>
      <w:pPr>
        <w:pStyle w:val="Heading2"/>
        <w:spacing w:after="120" w:before="360" w:line="312" w:lineRule="auto"/>
      </w:pPr>
      <w:r>
        <w:rPr>
          <w:rFonts w:ascii="Calibri" w:cs="Calibri" w:eastAsia="Calibri" w:hAnsi="Calibri"/>
          <w:color w:val="1A1A1A"/>
          <w:sz w:val="36"/>
          <w:szCs w:val="36"/>
        </w:rPr>
        <w:t xml:space="preserve">4.3 Trust Ticket Lifecycle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lifecycle of a Trust Ticket proceeds through the following stages:</w:t>
      </w:r>
    </w:p>
    <w:p>
      <w:pPr>
        <w:spacing w:after="120" w:before="60" w:line="360" w:lineRule="auto"/>
      </w:pPr>
      <w:r>
        <w:rPr>
          <w:rFonts w:ascii="Calibri" w:cs="Calibri" w:eastAsia="Calibri" w:hAnsi="Calibri"/>
          <w:b/>
          <w:bCs/>
          <w:i w:val="false"/>
          <w:iCs w:val="false"/>
          <w:strike w:val="false"/>
          <w:color w:val="000000"/>
          <w:sz w:val="22"/>
          <w:szCs w:val="22"/>
        </w:rPr>
        <w:t xml:space="preserve">Issuance.</w:t>
      </w:r>
      <w:r>
        <w:rPr>
          <w:rFonts w:ascii="Calibri" w:cs="Calibri" w:eastAsia="Calibri" w:hAnsi="Calibri"/>
          <w:b w:val="false"/>
          <w:bCs w:val="false"/>
          <w:i w:val="false"/>
          <w:iCs w:val="false"/>
          <w:strike w:val="false"/>
          <w:color w:val="000000"/>
          <w:sz w:val="22"/>
          <w:szCs w:val="22"/>
        </w:rPr>
        <w:t xml:space="preserve"> Upon successful validation of all four binding factors, the authentication service requests the kernel to issue a Trust Ticket. The kernel signs the ticket with a private key held exclusively within the TCB. The ticket contains: user identity, role assignment, source IP, device fingerprint hash, issue timestamp, expiry timestamp, and a cryptographic signature covering all fields.</w:t>
      </w:r>
    </w:p>
    <w:p>
      <w:pPr>
        <w:spacing w:after="120" w:before="60" w:line="360" w:lineRule="auto"/>
      </w:pPr>
      <w:r>
        <w:rPr>
          <w:rFonts w:ascii="Calibri" w:cs="Calibri" w:eastAsia="Calibri" w:hAnsi="Calibri"/>
          <w:b/>
          <w:bCs/>
          <w:i w:val="false"/>
          <w:iCs w:val="false"/>
          <w:strike w:val="false"/>
          <w:color w:val="000000"/>
          <w:sz w:val="22"/>
          <w:szCs w:val="22"/>
        </w:rPr>
        <w:t xml:space="preserve">Binding Validation at Access.</w:t>
      </w:r>
      <w:r>
        <w:rPr>
          <w:rFonts w:ascii="Calibri" w:cs="Calibri" w:eastAsia="Calibri" w:hAnsi="Calibri"/>
          <w:b w:val="false"/>
          <w:bCs w:val="false"/>
          <w:i w:val="false"/>
          <w:iCs w:val="false"/>
          <w:strike w:val="false"/>
          <w:color w:val="000000"/>
          <w:sz w:val="22"/>
          <w:szCs w:val="22"/>
        </w:rPr>
        <w:t xml:space="preserve"> Every resource access request presents the Trust Ticket to the kernel MAC policy engine. The engine verifies: the signature is valid; the ticket has not expired; the source IP of the current request matches the IP embedded in the ticket; and the device fingerprint matches. Any mismatch causes immediate denial of the access request and triggers a security event.</w:t>
      </w:r>
    </w:p>
    <w:p>
      <w:pPr>
        <w:spacing w:after="120" w:before="60" w:line="360" w:lineRule="auto"/>
      </w:pPr>
      <w:r>
        <w:rPr>
          <w:rFonts w:ascii="Calibri" w:cs="Calibri" w:eastAsia="Calibri" w:hAnsi="Calibri"/>
          <w:b/>
          <w:bCs/>
          <w:i w:val="false"/>
          <w:iCs w:val="false"/>
          <w:strike w:val="false"/>
          <w:color w:val="000000"/>
          <w:sz w:val="22"/>
          <w:szCs w:val="22"/>
        </w:rPr>
        <w:t xml:space="preserve">Revocation.</w:t>
      </w:r>
      <w:r>
        <w:rPr>
          <w:rFonts w:ascii="Calibri" w:cs="Calibri" w:eastAsia="Calibri" w:hAnsi="Calibri"/>
          <w:b w:val="false"/>
          <w:bCs w:val="false"/>
          <w:i w:val="false"/>
          <w:iCs w:val="false"/>
          <w:strike w:val="false"/>
          <w:color w:val="000000"/>
          <w:sz w:val="22"/>
          <w:szCs w:val="22"/>
        </w:rPr>
        <w:t xml:space="preserve"> A Trust Ticket is revoked upon: voluntary logout by the user; session timeout; detection of an IP or fingerprint mismatch mid-session; or an AI anomaly detection escalation that triggers automatic session suspension. Revoked tickets are added to a kernel-maintained revocation list; subsequent access attempts using a revoked ticket are denied.</w:t>
      </w:r>
    </w:p>
    <w:p>
      <w:pPr>
        <w:spacing w:after="120" w:before="60" w:line="360" w:lineRule="auto"/>
      </w:pPr>
      <w:r>
        <w:rPr>
          <w:rFonts w:ascii="Calibri" w:cs="Calibri" w:eastAsia="Calibri" w:hAnsi="Calibri"/>
          <w:b/>
          <w:bCs/>
          <w:i w:val="false"/>
          <w:iCs w:val="false"/>
          <w:strike w:val="false"/>
          <w:color w:val="000000"/>
          <w:sz w:val="22"/>
          <w:szCs w:val="22"/>
        </w:rPr>
        <w:t xml:space="preserve">Non-delegability.</w:t>
      </w:r>
      <w:r>
        <w:rPr>
          <w:rFonts w:ascii="Calibri" w:cs="Calibri" w:eastAsia="Calibri" w:hAnsi="Calibri"/>
          <w:b w:val="false"/>
          <w:bCs w:val="false"/>
          <w:i w:val="false"/>
          <w:iCs w:val="false"/>
          <w:strike w:val="false"/>
          <w:color w:val="000000"/>
          <w:sz w:val="22"/>
          <w:szCs w:val="22"/>
        </w:rPr>
        <w:t xml:space="preserve"> Trust Tickets cannot be copied, forwarded, or presented by any process or user other than the authenticated session. Any attempt to use a ticket from a different process context than the issuing session is treated as a security event.</w:t>
      </w:r>
    </w:p>
    <w:p>
      <w:pPr>
        <w:pStyle w:val="Heading2"/>
        <w:spacing w:after="120" w:before="360" w:line="312" w:lineRule="auto"/>
      </w:pPr>
      <w:r>
        <w:rPr>
          <w:rFonts w:ascii="Calibri" w:cs="Calibri" w:eastAsia="Calibri" w:hAnsi="Calibri"/>
          <w:color w:val="1A1A1A"/>
          <w:sz w:val="36"/>
          <w:szCs w:val="36"/>
        </w:rPr>
        <w:t xml:space="preserve">4.4 Login Failure Handling</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Any mismatch in any of the four binding factors during authentication constitutes an authentication failure. The system does not distinguish between factor types in the failure message returned to the user; this prevents probing attacks that attempt to determine which factor was incorrect.</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After a configurable number of consecutive authentication failures (default: 5), the account is automatically locked. The lockout event, including all available context (source IP, device fingerprint presented, timestamp, and mismatch type), is written to the audit log and generates an alert to the security operations team. Account unlock requires intervention by the application administrator and is itself a logged event subject to dual authorization confirmation.</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5. Security Attributes</w:t>
      </w:r>
    </w:p>
    <w:p>
      <w:pPr>
        <w:pStyle w:val="Heading2"/>
        <w:spacing w:after="120" w:before="360" w:line="312" w:lineRule="auto"/>
      </w:pPr>
      <w:r>
        <w:rPr>
          <w:rFonts w:ascii="Calibri" w:cs="Calibri" w:eastAsia="Calibri" w:hAnsi="Calibri"/>
          <w:color w:val="1A1A1A"/>
          <w:sz w:val="36"/>
          <w:szCs w:val="36"/>
        </w:rPr>
        <w:t xml:space="preserve">5.1 File Security Attributes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Every file in the ISCS carries a mandatory security classification label enforced by the kernel. This label is set at file creation time by the creating user's role (subject to their own clearance level) or by the application administrator. The label determines which roles and clearance levels may access, copy, print, or transfer the file. Classification labels are stored in the kernel-protected attribute store and are immutable in normal operating mode.</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11%"/>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Classification Level</w:t>
            </w:r>
          </w:p>
        </w:tc>
        <w:tc>
          <w:tcPr>
            <w:tcW w:type="pct" w:w="42%"/>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Description</w:t>
            </w:r>
          </w:p>
        </w:tc>
        <w:tc>
          <w:tcPr>
            <w:tcW w:type="pct" w:w="47%"/>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Access Restriction</w:t>
            </w:r>
          </w:p>
        </w:tc>
      </w:tr>
      <w:tr>
        <w:trPr>
          <w:tblHeader w:val="false"/>
        </w:trPr>
        <w:tc>
          <w:tcPr>
            <w:tcW w:type="pct" w:w="11%"/>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Top Secret</w:t>
            </w:r>
          </w:p>
        </w:tc>
        <w:tc>
          <w:tcPr>
            <w:tcW w:type="pct" w:w="4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Highest sensitivity; compartmented data whose unauthorized disclosure could cause severe harm. Reserved for the most sensitive operational and intelligence data.</w:t>
            </w:r>
          </w:p>
        </w:tc>
        <w:tc>
          <w:tcPr>
            <w:tcW w:type="pct" w:w="4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Accessible only by explicitly cleared roles. No copy permitted. No print permitted. No external transfer permitted. Access logged at every operation.</w:t>
            </w:r>
          </w:p>
        </w:tc>
      </w:tr>
      <w:tr>
        <w:trPr>
          <w:tblHeader w:val="false"/>
        </w:trPr>
        <w:tc>
          <w:tcPr>
            <w:tcW w:type="pct" w:w="11%"/>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Secret</w:t>
            </w:r>
          </w:p>
        </w:tc>
        <w:tc>
          <w:tcPr>
            <w:tcW w:type="pct" w:w="4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Sensitive operational data whose unauthorized disclosure could cause significant harm. Standard operational data in high-assurance environments.</w:t>
            </w:r>
          </w:p>
        </w:tc>
        <w:tc>
          <w:tcPr>
            <w:tcW w:type="pct" w:w="4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Accessible by authorized roles with Secret clearance. File transfer permitted only within approved, whitelisted internal destinations. Print to registered printers only, with audit logging.</w:t>
            </w:r>
          </w:p>
        </w:tc>
      </w:tr>
      <w:tr>
        <w:trPr>
          <w:tblHeader w:val="false"/>
        </w:trPr>
        <w:tc>
          <w:tcPr>
            <w:tcW w:type="pct" w:w="11%"/>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Confidential</w:t>
            </w:r>
          </w:p>
        </w:tc>
        <w:tc>
          <w:tcPr>
            <w:tcW w:type="pct" w:w="4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Internal use data not intended for external disclosure. Business-sensitive but not operationally critical.</w:t>
            </w:r>
          </w:p>
        </w:tc>
        <w:tc>
          <w:tcPr>
            <w:tcW w:type="pct" w:w="4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Accessible by internal roles. No external transfer permitted. Print to approved registered printers with audit logging.</w:t>
            </w:r>
          </w:p>
        </w:tc>
      </w:tr>
      <w:tr>
        <w:trPr>
          <w:tblHeader w:val="false"/>
        </w:trPr>
        <w:tc>
          <w:tcPr>
            <w:tcW w:type="pct" w:w="11%"/>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Unclassified</w:t>
            </w:r>
          </w:p>
        </w:tc>
        <w:tc>
          <w:tcPr>
            <w:tcW w:type="pct" w:w="4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General use data with no special sensitivity. Standard operational documents, reference materials.</w:t>
            </w:r>
          </w:p>
        </w:tc>
        <w:tc>
          <w:tcPr>
            <w:tcW w:type="pct" w:w="4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Standard role-based access controls apply. External transfer permitted subject to outbound firewall whitelist.</w:t>
            </w:r>
          </w:p>
        </w:tc>
      </w:tr>
    </w:tbl>
    <w:p>
      <w:pPr>
        <w:spacing w:after="200" w:before="0"/>
      </w:pP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Downgrading a file's classification label (e.g., from Secret to Confidential) requires entry into maintenance mode and explicit dual approval from two authorized administrators. Downgrade events are logged with: the file identifier, the previous classification, the new classification, the authorizing identities, and the timestamp. Upgrading a file's classification is permitted without maintenance mode for roles authorized to set that classification level.</w:t>
      </w:r>
    </w:p>
    <w:p>
      <w:pPr>
        <w:pStyle w:val="Heading2"/>
        <w:spacing w:after="120" w:before="360" w:line="312" w:lineRule="auto"/>
      </w:pPr>
      <w:r>
        <w:rPr>
          <w:rFonts w:ascii="Calibri" w:cs="Calibri" w:eastAsia="Calibri" w:hAnsi="Calibri"/>
          <w:color w:val="1A1A1A"/>
          <w:sz w:val="36"/>
          <w:szCs w:val="36"/>
        </w:rPr>
        <w:t xml:space="preserve">5.2 Program Security Attributes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All executables in the ISCS carry a risk attribute that is evaluated by the kernel at launch time. The risk attribute is assigned by the application administrator and stored in the executable whitelist (which is itself part of the kernel-protected attribute store). End users and system administrators cannot modify risk attribute assignments.</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9%"/>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Risk Level</w:t>
            </w:r>
          </w:p>
        </w:tc>
        <w:tc>
          <w:tcPr>
            <w:tcW w:type="pct" w:w="49%"/>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Description</w:t>
            </w:r>
          </w:p>
        </w:tc>
        <w:tc>
          <w:tcPr>
            <w:tcW w:type="pct" w:w="42%"/>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Execution Policy</w:t>
            </w:r>
          </w:p>
        </w:tc>
      </w:tr>
      <w:tr>
        <w:trPr>
          <w:tblHeader w:val="false"/>
        </w:trPr>
        <w:tc>
          <w:tcPr>
            <w:tcW w:type="pct" w:w="9%"/>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Trusted</w:t>
            </w:r>
          </w:p>
        </w:tc>
        <w:tc>
          <w:tcPr>
            <w:tcW w:type="pct" w:w="4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The executable is present in the signed whitelist, has a verified digital signature, and has been explicitly approved by the application administrator. Its behavior has been reviewed and is known to be safe for the production environment.</w:t>
            </w:r>
          </w:p>
        </w:tc>
        <w:tc>
          <w:tcPr>
            <w:tcW w:type="pct" w:w="4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Allowed to execute normally within the role and session context of the launching user. Standard MAC rules continue to apply during execution.</w:t>
            </w:r>
          </w:p>
        </w:tc>
      </w:tr>
      <w:tr>
        <w:trPr>
          <w:tblHeader w:val="false"/>
        </w:trPr>
        <w:tc>
          <w:tcPr>
            <w:tcW w:type="pct" w:w="9%"/>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Risky</w:t>
            </w:r>
          </w:p>
        </w:tc>
        <w:tc>
          <w:tcPr>
            <w:tcW w:type="pct" w:w="4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The executable has been identified and explicitly flagged as potentially dangerous. This category includes: network packet capture tools, scripting engines with broad system access, raw socket tools, password utilities, and any program with capabilities that exceed typical operational needs.</w:t>
            </w:r>
          </w:p>
        </w:tc>
        <w:tc>
          <w:tcPr>
            <w:tcW w:type="pct" w:w="4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Blocked from execution. An alert is generated and written to the audit log including: user identity, Trust Ticket ID, executable path, hash, and timestamp. The user receives a generic denial message without confirmation of the risk classification.</w:t>
            </w:r>
          </w:p>
        </w:tc>
      </w:tr>
      <w:tr>
        <w:trPr>
          <w:tblHeader w:val="false"/>
        </w:trPr>
        <w:tc>
          <w:tcPr>
            <w:tcW w:type="pct" w:w="9%"/>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Unknown</w:t>
            </w:r>
          </w:p>
        </w:tc>
        <w:tc>
          <w:tcPr>
            <w:tcW w:type="pct" w:w="4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The executable is not present in the whitelist. Its origin, integrity, and behavior are unverified. This is the default state for any executable that has not been explicitly reviewed and approved.</w:t>
            </w:r>
          </w:p>
        </w:tc>
        <w:tc>
          <w:tcPr>
            <w:tcW w:type="pct" w:w="4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Blocked by default (fail-closed). Unknown executables are never permitted to run on production systems. The attempt is logged identically to Risky-category blocks.</w:t>
            </w:r>
          </w:p>
        </w:tc>
      </w:tr>
    </w:tbl>
    <w:p>
      <w:pPr>
        <w:spacing w:after="200" w:before="0"/>
      </w:pP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executable whitelist is maintained exclusively by the application administrator and cannot be modified by end users or system administrators. Whitelist modifications require maintenance mode entry with dual authorization, as described in Sections 6.2 and 9.3.</w:t>
      </w:r>
    </w:p>
    <w:p>
      <w:pPr>
        <w:pStyle w:val="Heading2"/>
        <w:spacing w:after="120" w:before="360" w:line="312" w:lineRule="auto"/>
      </w:pPr>
      <w:r>
        <w:rPr>
          <w:rFonts w:ascii="Calibri" w:cs="Calibri" w:eastAsia="Calibri" w:hAnsi="Calibri"/>
          <w:color w:val="1A1A1A"/>
          <w:sz w:val="36"/>
          <w:szCs w:val="36"/>
        </w:rPr>
        <w:t xml:space="preserve">5.3 Attribute Immutability</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In normal operating mode, all security attributes — including file classification labels, program risk labels, role assignments, and ACL entries — are strictly immutable. They are stored in the kernel-protected attribute store, a memory region accessible only to the kernel itself. No user-space process, regardless of the OS-level privilege level of the user, can write to this store during normal mode.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Any attempt to modify a security attribute outside of an authorized maintenance mode session results in:</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The modification attempt being blocked by the kernel</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A log entry written with full context: user identity, Trust Ticket ID, the attribute targeted, the value attempted, the timestamp, and the workstation IP</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The event being classified as a high-severity security event, triggering immediate alert delivery to the security operations team and the AI anomaly detection layer</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Repeated attribute modification attempts against the same or different attributes within a session window are treated as an escalating pattern and may trigger automatic session suspension.</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6. Operating Modes</w:t>
      </w:r>
    </w:p>
    <w:p>
      <w:pPr>
        <w:pStyle w:val="Heading2"/>
        <w:spacing w:after="120" w:before="360" w:line="312" w:lineRule="auto"/>
      </w:pPr>
      <w:r>
        <w:rPr>
          <w:rFonts w:ascii="Calibri" w:cs="Calibri" w:eastAsia="Calibri" w:hAnsi="Calibri"/>
          <w:color w:val="1A1A1A"/>
          <w:sz w:val="36"/>
          <w:szCs w:val="36"/>
        </w:rPr>
        <w:t xml:space="preserve">6.1 Normal Mode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Normal Mode is the default and perpetual operating state of the ISCS. All enforcement mechanisms are fully active in this mode. The characteristics of Normal Mode are:</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Full MAC enforcement is active; the kernel evaluates every access request against the attribute store</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All security attributes are read-only; the kernel attribute store rejects write operations</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All user sessions are governed by Trust Tickets; sessions without a valid ticket receive no access</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Command groups and shell restrictions are enforced; commands outside the role's assigned groups are denied</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All access attempts, regardless of outcome, are written to the audit log</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The executable whitelist is enforced at every process creation event</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External device connections are blocked at the driver level</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Network firewall inbound and outbound whitelists are active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There is no privileged override of Normal Mode available to any user role. Transitioning out of Normal Mode requires the formal Maintenance Mode entry procedure described in Section 6.2.</w:t>
      </w:r>
    </w:p>
    <w:p>
      <w:pPr>
        <w:pStyle w:val="Heading2"/>
        <w:spacing w:after="120" w:before="360" w:line="312" w:lineRule="auto"/>
      </w:pPr>
      <w:r>
        <w:rPr>
          <w:rFonts w:ascii="Calibri" w:cs="Calibri" w:eastAsia="Calibri" w:hAnsi="Calibri"/>
          <w:color w:val="1A1A1A"/>
          <w:sz w:val="36"/>
          <w:szCs w:val="36"/>
        </w:rPr>
        <w:t xml:space="preserve">6.2 Maintenance Mode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Maintenance Mode is a restricted, exceptional operating state used exclusively for system administration tasks that require modification of security attributes, whitelist updates, or security policy changes. It is not a routine operational state. Entry into Maintenance Mode requires all of the following conditions to be satisfied:</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Dual Authorization.</w:t>
      </w:r>
      <w:r>
        <w:rPr>
          <w:rFonts w:ascii="Calibri" w:cs="Calibri" w:eastAsia="Calibri" w:hAnsi="Calibri"/>
          <w:b w:val="false"/>
          <w:bCs w:val="false"/>
          <w:i w:val="false"/>
          <w:iCs w:val="false"/>
          <w:strike w:val="false"/>
          <w:color w:val="000000"/>
          <w:sz w:val="22"/>
          <w:szCs w:val="22"/>
        </w:rPr>
        <w:t xml:space="preserve"> Two distinct authorized parties — at minimum a system administrator and an application administrator, or a designated second authority — must each authenticate and provide explicit approval for the mode transition. Approval by a single party, regardless of their privilege level, is insufficient.</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Physical Presence Verification.</w:t>
      </w:r>
      <w:r>
        <w:rPr>
          <w:rFonts w:ascii="Calibri" w:cs="Calibri" w:eastAsia="Calibri" w:hAnsi="Calibri"/>
          <w:b w:val="false"/>
          <w:bCs w:val="false"/>
          <w:i w:val="false"/>
          <w:iCs w:val="false"/>
          <w:strike w:val="false"/>
          <w:color w:val="000000"/>
          <w:sz w:val="22"/>
          <w:szCs w:val="22"/>
        </w:rPr>
        <w:t xml:space="preserve"> Out-of-band verification that the authorizing parties are physically present at the designated administrative console may be required, depending on the sensitivity of the planned maintenance operation. This prevents remote coercion from triggering mode transitions.</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Stated Purpose Logging.</w:t>
      </w:r>
      <w:r>
        <w:rPr>
          <w:rFonts w:ascii="Calibri" w:cs="Calibri" w:eastAsia="Calibri" w:hAnsi="Calibri"/>
          <w:b w:val="false"/>
          <w:bCs w:val="false"/>
          <w:i w:val="false"/>
          <w:iCs w:val="false"/>
          <w:strike w:val="false"/>
          <w:color w:val="000000"/>
          <w:sz w:val="22"/>
          <w:szCs w:val="22"/>
        </w:rPr>
        <w:t xml:space="preserve"> The authorizing parties must provide a documented reason for the maintenance session before the mode transition is completed. This reason is written to the audit log as part of the mode transition event.</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During Maintenance Mode:</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The kernel attribute store is writable only to the authorized maintenance session; all other write attempts remain blocked</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The session is strictly time-limited; the maintenance window is defined at entry and the system automatically returns to Normal Mode upon expiry</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Only pre-approved maintenance command groups are available; standard user sessions are suspended or restricted</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All attribute changes are logged with before-value, after-value, and the identity of both authorizing parties</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Normal user sessions may be suspended or reduced to read-only access during the maintenance window, depending on the scope of changes being made</w:t>
      </w:r>
    </w:p>
    <w:p>
      <w:pPr>
        <w:pStyle w:val="Heading2"/>
        <w:spacing w:after="120" w:before="360" w:line="312" w:lineRule="auto"/>
      </w:pPr>
      <w:r>
        <w:rPr>
          <w:rFonts w:ascii="Calibri" w:cs="Calibri" w:eastAsia="Calibri" w:hAnsi="Calibri"/>
          <w:color w:val="1A1A1A"/>
          <w:sz w:val="36"/>
          <w:szCs w:val="36"/>
        </w:rPr>
        <w:t xml:space="preserve">6.3 Mode Transition Diagram</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single" w:color="2B5797" w:sz="24"/>
              <w:bottom w:val="nil" w:color="FFFFFF" w:sz="0"/>
              <w:right w:val="nil" w:color="FFFFFF" w:sz="0"/>
            </w:tcBorders>
            <w:shd w:fill="F5F7FA" w:color="auto" w:val="clear"/>
            <w:tcMar>
              <w:top w:type="dxa" w:w="210"/>
              <w:left w:type="dxa" w:w="240"/>
              <w:bottom w:type="dxa" w:w="210"/>
              <w:right w:type="dxa" w:w="240"/>
            </w:tcMar>
          </w:tcPr>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Dual Auth + Approval</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NORMAL MODE</w:t>
            </w:r>
          </w:p>
          <w:p>
            <w:pPr>
              <w:spacing w:after="120" w:line="408" w:lineRule="auto"/>
            </w:pPr>
            <w:r>
              <w:t xml:space="preserve">│</w:t>
            </w:r>
          </w:p>
          <w:p>
            <w:pPr>
              <w:spacing w:after="120" w:line="408" w:lineRule="auto"/>
            </w:pPr>
            <w:r>
              <w:t xml:space="preserve">│</w:t>
            </w:r>
          </w:p>
          <w:p>
            <w:pPr>
              <w:spacing w:after="120" w:line="408" w:lineRule="auto"/>
            </w:pPr>
            <w:r>
              <w:t xml:space="preserve">MAINTENANCE MODE</w:t>
            </w:r>
          </w:p>
          <w:p>
            <w:pPr>
              <w:spacing w:after="120" w:line="408" w:lineRule="auto"/>
            </w:pPr>
            <w:r>
              <w:t xml:space="preserve">│</w:t>
            </w:r>
          </w:p>
          <w:p>
            <w:pPr>
              <w:spacing w:after="120" w:line="408" w:lineRule="auto"/>
            </w:pPr>
            <w:r>
              <w:t xml:space="preserve">│</w:t>
            </w:r>
          </w:p>
          <w:p>
            <w:pPr>
              <w:spacing w:after="120" w:line="408" w:lineRule="auto"/>
            </w:pPr>
            <w:r>
              <w:t xml:space="preserve">(Full Enforcement)</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(Attr Writable)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Session Timeout / Admin Sign-Off</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All access via Trust Ticket</w:t>
            </w:r>
          </w:p>
          <w:p>
            <w:pPr>
              <w:spacing w:after="120" w:line="408" w:lineRule="auto"/>
            </w:pPr>
            <w:r>
              <w:t xml:space="preserve">│</w:t>
            </w:r>
          </w:p>
          <w:p>
            <w:pPr>
              <w:spacing w:after="120" w:line="408" w:lineRule="auto"/>
            </w:pPr>
            <w:r>
              <w:t xml:space="preserve">All changes audited</w:t>
            </w:r>
          </w:p>
          <w:p>
            <w:pPr>
              <w:spacing w:after="120" w:line="408" w:lineRule="auto"/>
            </w:pPr>
            <w:r>
              <w:t xml:space="preserve">▼</w:t>
            </w:r>
          </w:p>
          <w:p>
            <w:pPr>
              <w:spacing w:after="120" w:line="408" w:lineRule="auto"/>
            </w:pPr>
            <w:r>
              <w:t xml:space="preserve">▼</w:t>
            </w:r>
          </w:p>
          <w:p>
            <w:pPr>
              <w:spacing w:after="120" w:line="408" w:lineRule="auto"/>
            </w:pPr>
            <w:r>
              <w:t xml:space="preserve">Kernel MAC Engine                                             Kernel Audit Log (Immutable)</w:t>
            </w:r>
          </w:p>
        </w:tc>
      </w:tr>
    </w:tbl>
    <w:p>
      <w:pPr>
        <w:spacing w:after="240" w:before="0"/>
      </w:pP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Mode transition events in both directions are recorded as high-priority audit log entries including: transition direction, initiating and approving party identities, stated purpose, timestamp of entry, and timestamp of exit.</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7. Role Separation</w:t>
      </w:r>
    </w:p>
    <w:p>
      <w:pPr>
        <w:pStyle w:val="Heading2"/>
        <w:spacing w:after="120" w:before="360" w:line="312" w:lineRule="auto"/>
      </w:pPr>
      <w:r>
        <w:rPr>
          <w:rFonts w:ascii="Calibri" w:cs="Calibri" w:eastAsia="Calibri" w:hAnsi="Calibri"/>
          <w:color w:val="1A1A1A"/>
          <w:sz w:val="36"/>
          <w:szCs w:val="36"/>
        </w:rPr>
        <w:t xml:space="preserve">7.1 Role Definitions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ISCS defines five distinct operational roles. Each role is granted the minimum permissions necessary for its defined function. Role assignments are stored in the kernel attribute store and are immutable in normal mode. A user may not hold more than one role simultaneously without explicit dual-authorization approval recorded in the audit log.</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gridCol w:w="100"/>
      </w:tblGrid>
      <w:tr>
        <w:trPr>
          <w:tblHeader/>
        </w:trPr>
        <w:tc>
          <w:tcPr>
            <w:tcW w:type="pct" w:w="12%"/>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Role</w:t>
            </w:r>
          </w:p>
        </w:tc>
        <w:tc>
          <w:tcPr>
            <w:tcW w:type="pct" w:w="18%"/>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Responsibilities</w:t>
            </w:r>
          </w:p>
        </w:tc>
        <w:tc>
          <w:tcPr>
            <w:tcW w:type="pct" w:w="38%"/>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What They CAN Do</w:t>
            </w:r>
          </w:p>
        </w:tc>
        <w:tc>
          <w:tcPr>
            <w:tcW w:type="pct" w:w="32%"/>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What They CANNOT Do</w:t>
            </w:r>
          </w:p>
        </w:tc>
      </w:tr>
      <w:tr>
        <w:trPr>
          <w:tblHeader w:val="false"/>
        </w:trPr>
        <w:tc>
          <w:tcPr>
            <w:tcW w:type="pct" w:w="12%"/>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System Administrator</w:t>
            </w:r>
          </w:p>
        </w:tc>
        <w:tc>
          <w:tcPr>
            <w:tcW w:type="pct" w:w="1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Operating system, hardware, and infrastructure management</w:t>
            </w:r>
          </w:p>
        </w:tc>
        <w:tc>
          <w:tcPr>
            <w:tcW w:type="pct" w:w="3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Install OS patches; manage hardware; configure network interfaces; restart approved services; reboot systems within approved maintenance windows</w:t>
            </w:r>
          </w:p>
        </w:tc>
        <w:tc>
          <w:tcPr>
            <w:tcW w:type="pct" w:w="3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Access application data; read or modify file classification attributes; change executable whitelist; access backup domain directly; read audit log contents</w:t>
            </w:r>
          </w:p>
        </w:tc>
      </w:tr>
      <w:tr>
        <w:trPr>
          <w:tblHeader w:val="false"/>
        </w:trPr>
        <w:tc>
          <w:tcPr>
            <w:tcW w:type="pct" w:w="12%"/>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Application Administrator</w:t>
            </w:r>
          </w:p>
        </w:tc>
        <w:tc>
          <w:tcPr>
            <w:tcW w:type="pct" w:w="1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Application layer management and security policy administration</w:t>
            </w:r>
          </w:p>
        </w:tc>
        <w:tc>
          <w:tcPr>
            <w:tcW w:type="pct" w:w="3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Manage application accounts; update executable whitelist (in Maintenance Mode); set and modify file classifications (in Maintenance Mode); review and approve restore requests for classified data</w:t>
            </w:r>
          </w:p>
        </w:tc>
        <w:tc>
          <w:tcPr>
            <w:tcW w:type="pct" w:w="3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Modify OS configuration; access backup domain directly; manage network hardware; act alone to enter Maintenance Mode (requires co-authorization)</w:t>
            </w:r>
          </w:p>
        </w:tc>
      </w:tr>
      <w:tr>
        <w:trPr>
          <w:tblHeader w:val="false"/>
        </w:trPr>
        <w:tc>
          <w:tcPr>
            <w:tcW w:type="pct" w:w="12%"/>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Backup Operator</w:t>
            </w:r>
          </w:p>
        </w:tc>
        <w:tc>
          <w:tcPr>
            <w:tcW w:type="pct" w:w="1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Data backup and restore operations within the backup domain</w:t>
            </w:r>
          </w:p>
        </w:tc>
        <w:tc>
          <w:tcPr>
            <w:tcW w:type="pct" w:w="3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Initiate and monitor approved backup jobs; restore data to production subject to application admin co-approval for classified data; manage backup job schedules within backup domain</w:t>
            </w:r>
          </w:p>
        </w:tc>
        <w:tc>
          <w:tcPr>
            <w:tcW w:type="pct" w:w="3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Read production file contents directly; execute arbitrary commands on production systems; modify security attributes; authenticate to the production zone</w:t>
            </w:r>
          </w:p>
        </w:tc>
      </w:tr>
      <w:tr>
        <w:trPr>
          <w:tblHeader w:val="false"/>
        </w:trPr>
        <w:tc>
          <w:tcPr>
            <w:tcW w:type="pct" w:w="12%"/>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End User</w:t>
            </w:r>
          </w:p>
        </w:tc>
        <w:tc>
          <w:tcPr>
            <w:tcW w:type="pct" w:w="1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Day-to-day operational tasks within their assigned clearance level</w:t>
            </w:r>
          </w:p>
        </w:tc>
        <w:tc>
          <w:tcPr>
            <w:tcW w:type="pct" w:w="3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Access files within their clearance level; execute whitelisted programs; perform operations within their assigned command group</w:t>
            </w:r>
          </w:p>
        </w:tc>
        <w:tc>
          <w:tcPr>
            <w:tcW w:type="pct" w:w="3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Modify their own security attributes; install software; access files above their clearance level; access other users' data; connect external storage devices</w:t>
            </w:r>
          </w:p>
        </w:tc>
      </w:tr>
      <w:tr>
        <w:trPr>
          <w:tblHeader w:val="false"/>
        </w:trPr>
        <w:tc>
          <w:tcPr>
            <w:tcW w:type="pct" w:w="12%"/>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Auditor</w:t>
            </w:r>
          </w:p>
        </w:tc>
        <w:tc>
          <w:tcPr>
            <w:tcW w:type="pct" w:w="1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Review, compliance reporting, and forensic analysis</w:t>
            </w:r>
          </w:p>
        </w:tc>
        <w:tc>
          <w:tcPr>
            <w:tcW w:type="pct" w:w="3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Read audit logs in their entirety; generate compliance reports; export audit data to approved destinations; receive anomaly detection alerts</w:t>
            </w:r>
          </w:p>
        </w:tc>
        <w:tc>
          <w:tcPr>
            <w:tcW w:type="pct" w:w="32%"/>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Modify audit logs; change security policies; access production data; execute commands outside the audit-read command group</w:t>
            </w:r>
          </w:p>
        </w:tc>
      </w:tr>
    </w:tbl>
    <w:p>
      <w:pPr>
        <w:spacing w:after="200" w:before="0"/>
      </w:pPr>
    </w:p>
    <w:p>
      <w:pPr>
        <w:pStyle w:val="Heading2"/>
        <w:spacing w:after="120" w:before="360" w:line="312" w:lineRule="auto"/>
      </w:pPr>
      <w:r>
        <w:rPr>
          <w:rFonts w:ascii="Calibri" w:cs="Calibri" w:eastAsia="Calibri" w:hAnsi="Calibri"/>
          <w:color w:val="1A1A1A"/>
          <w:sz w:val="36"/>
          <w:szCs w:val="36"/>
        </w:rPr>
        <w:t xml:space="preserve">7.2 Role Separation Enforcement</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Role assignments are stored in the kernel attribute store as immutable labels attached to each user account. They are evaluated by the kernel MAC policy engine at every access attempt. No role can assign itself additional permissions; all permission changes require Maintenance Mode entry with dual authorization. The following matrix summarizes the access boundaries between roles and system resources. Cells marked with a dash (—) indicate that access is structurally impossible for that role, not merely restricted by policy.</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single" w:color="2B5797" w:sz="24"/>
              <w:bottom w:val="nil" w:color="FFFFFF" w:sz="0"/>
              <w:right w:val="nil" w:color="FFFFFF" w:sz="0"/>
            </w:tcBorders>
            <w:shd w:fill="F5F7FA" w:color="auto" w:val="clear"/>
            <w:tcMar>
              <w:top w:type="dxa" w:w="210"/>
              <w:left w:type="dxa" w:w="240"/>
              <w:bottom w:type="dxa" w:w="210"/>
              <w:right w:type="dxa" w:w="240"/>
            </w:tcMar>
          </w:tcPr>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ROLE SEPARATION MATRIX</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Resource</w:t>
            </w:r>
          </w:p>
          <w:p>
            <w:pPr>
              <w:spacing w:after="120" w:line="408" w:lineRule="auto"/>
            </w:pPr>
            <w:r>
              <w:t xml:space="preserve">│</w:t>
            </w:r>
          </w:p>
          <w:p>
            <w:pPr>
              <w:spacing w:after="120" w:line="408" w:lineRule="auto"/>
            </w:pPr>
            <w:r>
              <w:t xml:space="preserve">SysAdm</w:t>
            </w:r>
          </w:p>
          <w:p>
            <w:pPr>
              <w:spacing w:after="120" w:line="408" w:lineRule="auto"/>
            </w:pPr>
            <w:r>
              <w:t xml:space="preserve">│</w:t>
            </w:r>
          </w:p>
          <w:p>
            <w:pPr>
              <w:spacing w:after="120" w:line="408" w:lineRule="auto"/>
            </w:pPr>
            <w:r>
              <w:t xml:space="preserve">AppAdm</w:t>
            </w:r>
          </w:p>
          <w:p>
            <w:pPr>
              <w:spacing w:after="120" w:line="408" w:lineRule="auto"/>
            </w:pPr>
            <w:r>
              <w:t xml:space="preserve">│</w:t>
            </w:r>
          </w:p>
          <w:p>
            <w:pPr>
              <w:spacing w:after="120" w:line="408" w:lineRule="auto"/>
            </w:pPr>
            <w:r>
              <w:t xml:space="preserve">Backup</w:t>
            </w:r>
          </w:p>
          <w:p>
            <w:pPr>
              <w:spacing w:after="120" w:line="408" w:lineRule="auto"/>
            </w:pPr>
            <w:r>
              <w:t xml:space="preserve">│</w:t>
            </w:r>
          </w:p>
          <w:p>
            <w:pPr>
              <w:spacing w:after="120" w:line="408" w:lineRule="auto"/>
            </w:pPr>
            <w:r>
              <w:t xml:space="preserve">EndUser</w:t>
            </w:r>
          </w:p>
          <w:p>
            <w:pPr>
              <w:spacing w:after="120" w:line="408" w:lineRule="auto"/>
            </w:pPr>
            <w:r>
              <w:t xml:space="preserve">│</w:t>
            </w:r>
          </w:p>
          <w:p>
            <w:pPr>
              <w:spacing w:after="120" w:line="408" w:lineRule="auto"/>
            </w:pPr>
            <w:r>
              <w:t xml:space="preserve">Auditor</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OS / Hardware</w:t>
            </w:r>
          </w:p>
          <w:p>
            <w:pPr>
              <w:spacing w:after="120" w:line="408" w:lineRule="auto"/>
            </w:pPr>
            <w:r>
              <w:t xml:space="preserve">│</w:t>
            </w:r>
          </w:p>
          <w:p>
            <w:pPr>
              <w:spacing w:after="120" w:line="408" w:lineRule="auto"/>
            </w:pPr>
            <w:r>
              <w:t xml:space="preserve">R/W</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w:t>
            </w:r>
          </w:p>
          <w:p>
            <w:pPr>
              <w:spacing w:after="120" w:line="408" w:lineRule="auto"/>
            </w:pPr>
            <w:r>
              <w:t xml:space="preserve">│</w:t>
            </w:r>
          </w:p>
          <w:p>
            <w:pPr>
              <w:spacing w:after="120" w:line="408" w:lineRule="auto"/>
            </w:pPr>
            <w:r>
              <w:t xml:space="preserve">│</w:t>
            </w:r>
          </w:p>
          <w:p>
            <w:pPr>
              <w:spacing w:after="120" w:line="408" w:lineRule="auto"/>
            </w:pPr>
            <w:r>
              <w:t xml:space="preserve">App Data</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R/W</w:t>
            </w:r>
          </w:p>
          <w:p>
            <w:pPr>
              <w:spacing w:after="120" w:line="408" w:lineRule="auto"/>
            </w:pPr>
            <w:r>
              <w:t xml:space="preserve">│</w:t>
            </w:r>
          </w:p>
          <w:p>
            <w:pPr>
              <w:spacing w:after="120" w:line="408" w:lineRule="auto"/>
            </w:pPr>
            <w:r>
              <w:t xml:space="preserve">(B)</w:t>
            </w:r>
          </w:p>
          <w:p>
            <w:pPr>
              <w:spacing w:after="120" w:line="408" w:lineRule="auto"/>
            </w:pPr>
            <w:r>
              <w:t xml:space="preserve">│</w:t>
            </w:r>
          </w:p>
          <w:p>
            <w:pPr>
              <w:spacing w:after="120" w:line="408" w:lineRule="auto"/>
            </w:pPr>
            <w:r>
              <w:t xml:space="preserve">R/W*</w:t>
            </w:r>
          </w:p>
          <w:p>
            <w:pPr>
              <w:spacing w:after="120" w:line="408" w:lineRule="auto"/>
            </w:pPr>
            <w:r>
              <w:t xml:space="preserve">│</w:t>
            </w:r>
          </w:p>
          <w:p>
            <w:pPr>
              <w:spacing w:after="120" w:line="408" w:lineRule="auto"/>
            </w:pPr>
            <w:r>
              <w:t xml:space="preserve">R</w:t>
            </w:r>
          </w:p>
          <w:p>
            <w:pPr>
              <w:spacing w:after="120" w:line="408" w:lineRule="auto"/>
            </w:pPr>
            <w:r>
              <w:t xml:space="preserve">│</w:t>
            </w:r>
          </w:p>
          <w:p>
            <w:pPr>
              <w:spacing w:after="120" w:line="408" w:lineRule="auto"/>
            </w:pPr>
            <w:r>
              <w:t xml:space="preserve">│</w:t>
            </w:r>
          </w:p>
          <w:p>
            <w:pPr>
              <w:spacing w:after="120" w:line="408" w:lineRule="auto"/>
            </w:pPr>
            <w:r>
              <w:t xml:space="preserve">Backup Domain</w:t>
            </w:r>
          </w:p>
          <w:p>
            <w:pPr>
              <w:spacing w:after="120" w:line="408" w:lineRule="auto"/>
            </w:pPr>
            <w:r>
              <w:t xml:space="preserve">│</w:t>
            </w:r>
          </w:p>
          <w:p>
            <w:pPr>
              <w:spacing w:after="120" w:line="408" w:lineRule="auto"/>
            </w:pPr>
            <w:r>
              <w:t xml:space="preserve">R</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R/W</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w:t>
            </w:r>
          </w:p>
          <w:p>
            <w:pPr>
              <w:spacing w:after="120" w:line="408" w:lineRule="auto"/>
            </w:pPr>
            <w:r>
              <w:t xml:space="preserve">│</w:t>
            </w:r>
          </w:p>
          <w:p>
            <w:pPr>
              <w:spacing w:after="120" w:line="408" w:lineRule="auto"/>
            </w:pPr>
            <w:r>
              <w:t xml:space="preserve">│</w:t>
            </w:r>
          </w:p>
          <w:p>
            <w:pPr>
              <w:spacing w:after="120" w:line="408" w:lineRule="auto"/>
            </w:pPr>
            <w:r>
              <w:t xml:space="preserve">Exec Whitelist</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R/W</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w:t>
            </w:r>
          </w:p>
          <w:p>
            <w:pPr>
              <w:spacing w:after="120" w:line="408" w:lineRule="auto"/>
            </w:pPr>
            <w:r>
              <w:t xml:space="preserve">│</w:t>
            </w:r>
          </w:p>
          <w:p>
            <w:pPr>
              <w:spacing w:after="120" w:line="408" w:lineRule="auto"/>
            </w:pPr>
            <w:r>
              <w:t xml:space="preserve">│</w:t>
            </w:r>
          </w:p>
          <w:p>
            <w:pPr>
              <w:spacing w:after="120" w:line="408" w:lineRule="auto"/>
            </w:pPr>
            <w:r>
              <w:t xml:space="preserve">Audit Logs</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w:t>
            </w:r>
          </w:p>
          <w:p>
            <w:pPr>
              <w:spacing w:after="120" w:line="408" w:lineRule="auto"/>
            </w:pPr>
            <w:r>
              <w:t xml:space="preserve">│</w:t>
            </w:r>
          </w:p>
          <w:p>
            <w:pPr>
              <w:spacing w:after="120" w:line="408" w:lineRule="auto"/>
            </w:pPr>
            <w:r>
              <w:t xml:space="preserve">│</w:t>
            </w:r>
          </w:p>
          <w:p>
            <w:pPr>
              <w:spacing w:after="120" w:line="408" w:lineRule="auto"/>
            </w:pPr>
            <w:r>
              <w:t xml:space="preserve">Security Attrs</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MMode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R=Read  W=Write  B=Backup-ops-only  MMode=Maintenance Mode</w:t>
            </w:r>
          </w:p>
          <w:p>
            <w:pPr>
              <w:spacing w:after="120" w:line="408" w:lineRule="auto"/>
            </w:pPr>
            <w:r>
              <w:t xml:space="preserve">│</w:t>
            </w:r>
          </w:p>
          <w:p>
            <w:pPr>
              <w:spacing w:after="120" w:line="408" w:lineRule="auto"/>
            </w:pPr>
            <w:r>
              <w:t xml:space="preserve">│</w:t>
            </w:r>
          </w:p>
          <w:p>
            <w:pPr>
              <w:spacing w:after="120" w:line="408" w:lineRule="auto"/>
            </w:pPr>
            <w:r>
              <w:t xml:space="preserve">* = within clearance level only</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tc>
      </w:tr>
    </w:tbl>
    <w:p>
      <w:pPr>
        <w:spacing w:after="240" w:before="0"/>
      </w:pP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Enforcement of the role separation matrix is performed exclusively at the kernel level. Application-layer permission settings that conflict with the matrix are overridden by the kernel. OS-level administrator privileges do not grant access to resources blocked by the matrix.</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8. Network Architecture and IP Binding</w:t>
      </w:r>
    </w:p>
    <w:p>
      <w:pPr>
        <w:pStyle w:val="Heading2"/>
        <w:spacing w:after="120" w:before="360" w:line="312" w:lineRule="auto"/>
      </w:pPr>
      <w:r>
        <w:rPr>
          <w:rFonts w:ascii="Calibri" w:cs="Calibri" w:eastAsia="Calibri" w:hAnsi="Calibri"/>
          <w:color w:val="1A1A1A"/>
          <w:sz w:val="36"/>
          <w:szCs w:val="36"/>
        </w:rPr>
        <w:t xml:space="preserve">8.1 Fixed IP per Device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Every authorized device that may connect to production resources is assigned a fixed, permanently registered IP address. This assignment is recorded in the Device Registry, a configuration store maintained by the system administrator and enforced at both the kernel and network layers. Dynamic IP assignment (DHCP) is disabled for all production zone devices.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At every session access attempt, the kernel session validator compares the source IP of the incoming request against the registered IP for the authenticated device as recorded in the Trust Ticket. Any discrepancy — including the use of a VPN that alters the effective source IP — causes the access attempt to be rejected. This mechanism ensures that even if a valid Trust Ticket is somehow copied, it cannot be used from a different network location.</w:t>
      </w:r>
    </w:p>
    <w:p>
      <w:pPr>
        <w:pStyle w:val="Heading2"/>
        <w:spacing w:after="120" w:before="360" w:line="312" w:lineRule="auto"/>
      </w:pPr>
      <w:r>
        <w:rPr>
          <w:rFonts w:ascii="Calibri" w:cs="Calibri" w:eastAsia="Calibri" w:hAnsi="Calibri"/>
          <w:color w:val="1A1A1A"/>
          <w:sz w:val="36"/>
          <w:szCs w:val="36"/>
        </w:rPr>
        <w:t xml:space="preserve">8.2 Access Control Lists (IP-based ACL)</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In addition to identity-based access control, all production resources — file servers, application servers, backup servers, and administrative interfaces — are governed by IP-based Access Control Lists. ACL entries specify which source IP addresses are permitted to connect to each resource, and on which ports. ACL entries are maintained by the application administrator and stored in the kernel-protected attribute store.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Connection attempts from any IP address not explicitly listed in the ACL for the target resource are dropped at the network gateway and logged. The log entry includes: source IP, destination resource, destination port, timestamp, and whether a Trust Ticket was presented. This provides an independent enforcement layer that operates even before the kernel MAC engine evaluates the request content.</w:t>
      </w:r>
    </w:p>
    <w:p>
      <w:pPr>
        <w:pStyle w:val="Heading2"/>
        <w:spacing w:after="120" w:before="360" w:line="312" w:lineRule="auto"/>
      </w:pPr>
      <w:r>
        <w:rPr>
          <w:rFonts w:ascii="Calibri" w:cs="Calibri" w:eastAsia="Calibri" w:hAnsi="Calibri"/>
          <w:color w:val="1A1A1A"/>
          <w:sz w:val="36"/>
          <w:szCs w:val="36"/>
        </w:rPr>
        <w:t xml:space="preserve">8.3 Network Zones</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single" w:color="2B5797" w:sz="24"/>
              <w:bottom w:val="nil" w:color="FFFFFF" w:sz="0"/>
              <w:right w:val="nil" w:color="FFFFFF" w:sz="0"/>
            </w:tcBorders>
            <w:shd w:fill="F5F7FA" w:color="auto" w:val="clear"/>
            <w:tcMar>
              <w:top w:type="dxa" w:w="210"/>
              <w:left w:type="dxa" w:w="240"/>
              <w:bottom w:type="dxa" w:w="210"/>
              <w:right w:type="dxa" w:w="240"/>
            </w:tcMar>
          </w:tcPr>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NETWORK ARCHITECTURE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Production</w:t>
            </w:r>
          </w:p>
          <w:p>
            <w:pPr>
              <w:spacing w:after="120" w:line="408" w:lineRule="auto"/>
            </w:pPr>
            <w:r>
              <w:t xml:space="preserve">│</w:t>
            </w:r>
          </w:p>
          <w:p>
            <w:pPr>
              <w:spacing w:after="120" w:line="408" w:lineRule="auto"/>
            </w:pPr>
            <w:r>
              <w:t xml:space="preserve">│</w:t>
            </w:r>
          </w:p>
          <w:p>
            <w:pPr>
              <w:spacing w:after="120" w:line="408" w:lineRule="auto"/>
            </w:pPr>
            <w:r>
              <w:t xml:space="preserve">Backup Domain</w:t>
            </w:r>
          </w:p>
          <w:p>
            <w:pPr>
              <w:spacing w:after="120" w:line="408" w:lineRule="auto"/>
            </w:pPr>
            <w:r>
              <w:t xml:space="preserve">│</w:t>
            </w:r>
          </w:p>
          <w:p>
            <w:pPr>
              <w:spacing w:after="120" w:line="408" w:lineRule="auto"/>
            </w:pPr>
            <w:r>
              <w:t xml:space="preserve">│</w:t>
            </w:r>
          </w:p>
          <w:p>
            <w:pPr>
              <w:spacing w:after="120" w:line="408" w:lineRule="auto"/>
            </w:pPr>
            <w:r>
              <w:t xml:space="preserve">Guest WiFi</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Zone</w:t>
            </w:r>
          </w:p>
          <w:p>
            <w:pPr>
              <w:spacing w:after="120" w:line="408" w:lineRule="auto"/>
            </w:pPr>
            <w:r>
              <w:t xml:space="preserve">│</w:t>
            </w:r>
          </w:p>
          <w:p>
            <w:pPr>
              <w:spacing w:after="120" w:line="408" w:lineRule="auto"/>
            </w:pPr>
            <w:r>
              <w:t xml:space="preserve">│</w:t>
            </w:r>
          </w:p>
          <w:p>
            <w:pPr>
              <w:spacing w:after="120" w:line="408" w:lineRule="auto"/>
            </w:pPr>
            <w:r>
              <w:t xml:space="preserve">(Isolated)</w:t>
            </w:r>
          </w:p>
          <w:p>
            <w:pPr>
              <w:spacing w:after="120" w:line="408" w:lineRule="auto"/>
            </w:pPr>
            <w:r>
              <w:t xml:space="preserve">│</w:t>
            </w:r>
          </w:p>
          <w:p>
            <w:pPr>
              <w:spacing w:after="120" w:line="408" w:lineRule="auto"/>
            </w:pPr>
            <w:r>
              <w:t xml:space="preserve">│</w:t>
            </w:r>
          </w:p>
          <w:p>
            <w:pPr>
              <w:spacing w:after="120" w:line="408" w:lineRule="auto"/>
            </w:pPr>
            <w:r>
              <w:t xml:space="preserve">(Air-Gapped)</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Fixed IPs</w:t>
            </w:r>
          </w:p>
          <w:p>
            <w:pPr>
              <w:spacing w:after="120" w:line="408" w:lineRule="auto"/>
            </w:pPr>
            <w:r>
              <w:t xml:space="preserve">│</w:t>
            </w:r>
          </w:p>
          <w:p>
            <w:pPr>
              <w:spacing w:after="120" w:line="408" w:lineRule="auto"/>
            </w:pPr>
            <w:r>
              <w:t xml:space="preserve">│</w:t>
            </w:r>
          </w:p>
          <w:p>
            <w:pPr>
              <w:spacing w:after="120" w:line="408" w:lineRule="auto"/>
            </w:pPr>
            <w:r>
              <w:t xml:space="preserve">Backup Servers</w:t>
            </w:r>
          </w:p>
          <w:p>
            <w:pPr>
              <w:spacing w:after="120" w:line="408" w:lineRule="auto"/>
            </w:pPr>
            <w:r>
              <w:t xml:space="preserve">│</w:t>
            </w:r>
          </w:p>
          <w:p>
            <w:pPr>
              <w:spacing w:after="120" w:line="408" w:lineRule="auto"/>
            </w:pPr>
            <w:r>
              <w:t xml:space="preserve">│</w:t>
            </w:r>
          </w:p>
          <w:p>
            <w:pPr>
              <w:spacing w:after="120" w:line="408" w:lineRule="auto"/>
            </w:pPr>
            <w:r>
              <w:t xml:space="preserve">No access to</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Whitelisted</w:t>
            </w:r>
          </w:p>
          <w:p>
            <w:pPr>
              <w:spacing w:after="120" w:line="408" w:lineRule="auto"/>
            </w:pPr>
            <w:r>
              <w:t xml:space="preserve">│</w:t>
            </w:r>
          </w:p>
          <w:p>
            <w:pPr>
              <w:spacing w:after="120" w:line="408" w:lineRule="auto"/>
            </w:pPr>
            <w:r>
              <w:t xml:space="preserve">│</w:t>
            </w:r>
          </w:p>
          <w:p>
            <w:pPr>
              <w:spacing w:after="120" w:line="408" w:lineRule="auto"/>
            </w:pPr>
            <w:r>
              <w:t xml:space="preserve">Backup Operator</w:t>
            </w:r>
          </w:p>
          <w:p>
            <w:pPr>
              <w:spacing w:after="120" w:line="408" w:lineRule="auto"/>
            </w:pPr>
            <w:r>
              <w:t xml:space="preserve">│</w:t>
            </w:r>
          </w:p>
          <w:p>
            <w:pPr>
              <w:spacing w:after="120" w:line="408" w:lineRule="auto"/>
            </w:pPr>
            <w:r>
              <w:t xml:space="preserve">│</w:t>
            </w:r>
          </w:p>
          <w:p>
            <w:pPr>
              <w:spacing w:after="120" w:line="408" w:lineRule="auto"/>
            </w:pPr>
            <w:r>
              <w:t xml:space="preserve">production</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Devices Only</w:t>
            </w:r>
          </w:p>
          <w:p>
            <w:pPr>
              <w:spacing w:after="120" w:line="408" w:lineRule="auto"/>
            </w:pPr>
            <w:r>
              <w:t xml:space="preserve">│</w:t>
            </w:r>
          </w:p>
          <w:p>
            <w:pPr>
              <w:spacing w:after="120" w:line="408" w:lineRule="auto"/>
            </w:pPr>
            <w:r>
              <w:t xml:space="preserve">│</w:t>
            </w:r>
          </w:p>
          <w:p>
            <w:pPr>
              <w:spacing w:after="120" w:line="408" w:lineRule="auto"/>
            </w:pPr>
            <w:r>
              <w:t xml:space="preserve">Role Only</w:t>
            </w:r>
          </w:p>
          <w:p>
            <w:pPr>
              <w:spacing w:after="120" w:line="408" w:lineRule="auto"/>
            </w:pPr>
            <w:r>
              <w:t xml:space="preserve">│</w:t>
            </w:r>
          </w:p>
          <w:p>
            <w:pPr>
              <w:spacing w:after="120" w:line="408" w:lineRule="auto"/>
            </w:pPr>
            <w:r>
              <w:t xml:space="preserve">│</w:t>
            </w:r>
          </w:p>
          <w:p>
            <w:pPr>
              <w:spacing w:after="120" w:line="408" w:lineRule="auto"/>
            </w:pPr>
            <w:r>
              <w:t xml:space="preserve">or backup</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Firewall /</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Enforcement</w:t>
            </w:r>
          </w:p>
          <w:p>
            <w:pPr>
              <w:spacing w:after="120" w:line="408" w:lineRule="auto"/>
            </w:pPr>
            <w:r>
              <w:t xml:space="preserve">│</w:t>
            </w:r>
          </w:p>
          <w:p>
            <w:pPr>
              <w:spacing w:after="120" w:line="408" w:lineRule="auto"/>
            </w:pPr>
            <w:r>
              <w:t xml:space="preserve">&lt;</w:t>
            </w:r>
          </w:p>
          <w:p>
            <w:pPr>
              <w:spacing w:after="120" w:line="408" w:lineRule="auto"/>
            </w:pPr>
            <w:r>
              <w:t xml:space="preserve">- Inbound + Outbound Whitelists</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Gateway</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tc>
      </w:tr>
    </w:tbl>
    <w:p>
      <w:pPr>
        <w:spacing w:after="240" w:before="0"/>
      </w:pP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network is divided into three primary segments: the Production Zone, the Backup Domain, and the Guest WiFi segment. These segments are isolated from each other by routing-layer controls, not merely by VLAN tagging. Routing between segments is disabled except for the specific one-directional backup push path from Production to Backup Domain, which is enforced at the firewall gateway.</w:t>
      </w:r>
    </w:p>
    <w:p>
      <w:pPr>
        <w:pStyle w:val="Heading2"/>
        <w:spacing w:after="120" w:before="360" w:line="312" w:lineRule="auto"/>
      </w:pPr>
      <w:r>
        <w:rPr>
          <w:rFonts w:ascii="Calibri" w:cs="Calibri" w:eastAsia="Calibri" w:hAnsi="Calibri"/>
          <w:color w:val="1A1A1A"/>
          <w:sz w:val="36"/>
          <w:szCs w:val="36"/>
        </w:rPr>
        <w:t xml:space="preserve">8.4 Guest WiFi Isolation</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Guest WiFi network is a completely separate network segment with no routing path to the Production Zone or the Backup Domain. Guest devices may not access any internal resources, servers, or administrative interfaces. The isolation is enforced at the routing and firewall layer; it does not rely solely on VLAN tagging, which is a weaker control susceptible to VLAN hopping attacks. Guest network traffic is permitted only to designated external internet gateways and no internal addresses.</w:t>
      </w:r>
    </w:p>
    <w:p>
      <w:pPr>
        <w:pStyle w:val="Heading2"/>
        <w:spacing w:after="120" w:before="360" w:line="312" w:lineRule="auto"/>
      </w:pPr>
      <w:r>
        <w:rPr>
          <w:rFonts w:ascii="Calibri" w:cs="Calibri" w:eastAsia="Calibri" w:hAnsi="Calibri"/>
          <w:color w:val="1A1A1A"/>
          <w:sz w:val="36"/>
          <w:szCs w:val="36"/>
        </w:rPr>
        <w:t xml:space="preserve">8.5 Firewall Whitelists</w:t>
      </w:r>
    </w:p>
    <w:p>
      <w:pPr>
        <w:pStyle w:val="Heading3"/>
        <w:spacing w:after="120" w:before="240" w:line="312" w:lineRule="auto"/>
      </w:pPr>
      <w:r>
        <w:rPr>
          <w:rFonts w:ascii="Calibri" w:cs="Calibri" w:eastAsia="Calibri" w:hAnsi="Calibri"/>
          <w:color w:val="1A1A1A"/>
          <w:sz w:val="28"/>
          <w:szCs w:val="28"/>
        </w:rPr>
        <w:t xml:space="preserve">8.5.1 Inbound Whitelist</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Only explicitly permitted source IP addresses and destination ports may initiate connections to production resources. All other inbound traffic — regardless of the requesting entity — is dropped at the firewall gateway without response. The absence of a response (drop, not reject) prevents port-scanning and service enumeration by unauthorized sources. Dropped inbound connections are logged with source IP, attempted destination, and port.</w:t>
      </w:r>
    </w:p>
    <w:p>
      <w:pPr>
        <w:pStyle w:val="Heading3"/>
        <w:spacing w:after="120" w:before="240" w:line="312" w:lineRule="auto"/>
      </w:pPr>
      <w:r>
        <w:rPr>
          <w:rFonts w:ascii="Calibri" w:cs="Calibri" w:eastAsia="Calibri" w:hAnsi="Calibri"/>
          <w:color w:val="1A1A1A"/>
          <w:sz w:val="28"/>
          <w:szCs w:val="28"/>
        </w:rPr>
        <w:t xml:space="preserve">8.5.2 Outbound Whitelist</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Outgoing connections from production zone systems are permitted only to an explicitly defined destination list of approved IP addresses and ports. This whitelist is maintained by the application administrator. Any outbound connection attempt to a destination not on the whitelist — including external cloud services, personal email, and unauthorized internal destinations — is blocked at the firewall and logged. This control is the primary network-layer defense against data exfiltration via outbound channels, and is independent of and complementary to the file-attribute-level exfiltration controls.</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9. Executable Whitelist</w:t>
      </w:r>
    </w:p>
    <w:p>
      <w:pPr>
        <w:pStyle w:val="Heading2"/>
        <w:spacing w:after="120" w:before="360" w:line="312" w:lineRule="auto"/>
      </w:pPr>
      <w:r>
        <w:rPr>
          <w:rFonts w:ascii="Calibri" w:cs="Calibri" w:eastAsia="Calibri" w:hAnsi="Calibri"/>
          <w:color w:val="1A1A1A"/>
          <w:sz w:val="36"/>
          <w:szCs w:val="36"/>
        </w:rPr>
        <w:t xml:space="preserve">9.1 Policy</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Only executables present in the kernel-maintained, application-administrator-managed signed whitelist may run on production systems. This policy applies to all executable file types, including but not limited to: binary executables, scripts (shell, Python, PowerShell, Perl), interpreted code launchers, and dynamically linked libraries invoked as entry points. The policy is enforced at the kernel level and cannot be overridden by any user-space process, OS-level administrator privilege, or application setting.</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default posture is denial: any executable not explicitly listed in the whitelist is blocked regardless of its location on the filesystem, regardless of who is attempting to run it, and regardless of its apparent legitimacy.</w:t>
      </w:r>
    </w:p>
    <w:p>
      <w:pPr>
        <w:pStyle w:val="Heading2"/>
        <w:spacing w:after="120" w:before="360" w:line="312" w:lineRule="auto"/>
      </w:pPr>
      <w:r>
        <w:rPr>
          <w:rFonts w:ascii="Calibri" w:cs="Calibri" w:eastAsia="Calibri" w:hAnsi="Calibri"/>
          <w:color w:val="1A1A1A"/>
          <w:sz w:val="36"/>
          <w:szCs w:val="36"/>
        </w:rPr>
        <w:t xml:space="preserve">9.2 Enforcement</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At every process creation event — regardless of the mechanism by which the launch was requested — the kernel performs the following checks in sequence:</w:t>
      </w:r>
    </w:p>
    <w:p>
      <w:pPr>
        <w:pStyle w:val="ListParagraph"/>
        <w:numPr>
          <w:ilvl w:val="0"/>
          <w:numId w:val="2"/>
        </w:numPr>
        <w:spacing w:after="60" w:line="408" w:lineRule="auto"/>
        <w:ind w:left="720" w:hanging="360"/>
      </w:pPr>
      <w:r>
        <w:rPr>
          <w:rFonts w:ascii="Calibri" w:cs="Calibri" w:eastAsia="Calibri" w:hAnsi="Calibri"/>
          <w:b/>
          <w:bCs/>
          <w:i w:val="false"/>
          <w:iCs w:val="false"/>
          <w:strike w:val="false"/>
          <w:color w:val="000000"/>
          <w:sz w:val="22"/>
          <w:szCs w:val="22"/>
        </w:rPr>
        <w:t xml:space="preserve">Whitelist Presence Check.</w:t>
      </w:r>
      <w:r>
        <w:rPr>
          <w:rFonts w:ascii="Calibri" w:cs="Calibri" w:eastAsia="Calibri" w:hAnsi="Calibri"/>
          <w:b w:val="false"/>
          <w:bCs w:val="false"/>
          <w:i w:val="false"/>
          <w:iCs w:val="false"/>
          <w:strike w:val="false"/>
          <w:color w:val="000000"/>
          <w:sz w:val="22"/>
          <w:szCs w:val="22"/>
        </w:rPr>
        <w:t xml:space="preserve"> Is the cryptographic hash (SHA-256 minimum) of the executable binary present in the signed whitelist? If no, execution is blocked immediately.</w:t>
      </w:r>
    </w:p>
    <w:p>
      <w:pPr>
        <w:pStyle w:val="ListParagraph"/>
        <w:numPr>
          <w:ilvl w:val="0"/>
          <w:numId w:val="2"/>
        </w:numPr>
        <w:spacing w:after="60" w:line="408" w:lineRule="auto"/>
        <w:ind w:left="720" w:hanging="360"/>
      </w:pPr>
      <w:r>
        <w:rPr>
          <w:rFonts w:ascii="Calibri" w:cs="Calibri" w:eastAsia="Calibri" w:hAnsi="Calibri"/>
          <w:b/>
          <w:bCs/>
          <w:i w:val="false"/>
          <w:iCs w:val="false"/>
          <w:strike w:val="false"/>
          <w:color w:val="000000"/>
          <w:sz w:val="22"/>
          <w:szCs w:val="22"/>
        </w:rPr>
        <w:t xml:space="preserve">Digital Signature Verification.</w:t>
      </w:r>
      <w:r>
        <w:rPr>
          <w:rFonts w:ascii="Calibri" w:cs="Calibri" w:eastAsia="Calibri" w:hAnsi="Calibri"/>
          <w:b w:val="false"/>
          <w:bCs w:val="false"/>
          <w:i w:val="false"/>
          <w:iCs w:val="false"/>
          <w:strike w:val="false"/>
          <w:color w:val="000000"/>
          <w:sz w:val="22"/>
          <w:szCs w:val="22"/>
        </w:rPr>
        <w:t xml:space="preserve"> Is the executable's digital signature valid and issued by an approved signing authority whose certificate is present in the kernel's trusted certificate store? If no, execution is blocked.</w:t>
      </w:r>
    </w:p>
    <w:p>
      <w:pPr>
        <w:pStyle w:val="ListParagraph"/>
        <w:numPr>
          <w:ilvl w:val="0"/>
          <w:numId w:val="2"/>
        </w:numPr>
        <w:spacing w:after="60" w:line="408" w:lineRule="auto"/>
        <w:ind w:left="720" w:hanging="360"/>
      </w:pPr>
      <w:r>
        <w:rPr>
          <w:rFonts w:ascii="Calibri" w:cs="Calibri" w:eastAsia="Calibri" w:hAnsi="Calibri"/>
          <w:b/>
          <w:bCs/>
          <w:i w:val="false"/>
          <w:iCs w:val="false"/>
          <w:strike w:val="false"/>
          <w:color w:val="000000"/>
          <w:sz w:val="22"/>
          <w:szCs w:val="22"/>
        </w:rPr>
        <w:t xml:space="preserve">Risk Attribute Check.</w:t>
      </w:r>
      <w:r>
        <w:rPr>
          <w:rFonts w:ascii="Calibri" w:cs="Calibri" w:eastAsia="Calibri" w:hAnsi="Calibri"/>
          <w:b w:val="false"/>
          <w:bCs w:val="false"/>
          <w:i w:val="false"/>
          <w:iCs w:val="false"/>
          <w:strike w:val="false"/>
          <w:color w:val="000000"/>
          <w:sz w:val="22"/>
          <w:szCs w:val="22"/>
        </w:rPr>
        <w:t xml:space="preserve"> Does the executable's risk attribute equal Trusted? Executables marked Risky or Unknown are blocked regardless of whitelist presence.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If any of the three checks fails, execution is blocked and the following information is written to the audit log: user identity, Trust Ticket ID, executable file path, executable hash (computed at launch time), digital signature status, timestamp, and source workstation IP.</w:t>
      </w:r>
    </w:p>
    <w:p>
      <w:pPr>
        <w:pStyle w:val="Heading2"/>
        <w:spacing w:after="120" w:before="360" w:line="312" w:lineRule="auto"/>
      </w:pPr>
      <w:r>
        <w:rPr>
          <w:rFonts w:ascii="Calibri" w:cs="Calibri" w:eastAsia="Calibri" w:hAnsi="Calibri"/>
          <w:color w:val="1A1A1A"/>
          <w:sz w:val="36"/>
          <w:szCs w:val="36"/>
        </w:rPr>
        <w:t xml:space="preserve">9.3 Whitelist Management</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Whitelist additions and modifications require entry into Maintenance Mode and explicit dual authorization. The addition process requires:</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Submission of the executable file for review, including a documented statement of its intended purpose and operational need</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Verification of the digital signature against an approved signing authority</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Recording of the executable hash in the whitelist, along with: the approving application administrator identity, the co-authorizer identity, the stated purpose, and the timestamp of addition</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Removal of a whitelist entry takes immediate effect and does not require Maintenance Mode (it is a restrictive change). Removal is still logged with the removing administrator's identity and a mandatory stated reason. There is no recycle or restore of removed entries; re-addition requires the full addition process.</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10. External Device Restrictions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All external storage devices — including USB flash drives, external hard drives, optical media (CD/DVD/Blu-ray), SD cards, and memory card readers — are blocked on all production zone workstations and servers at the kernel driver level. This is a structural enforcement, not a configurable policy setting. There is no user-accessible mechanism to override this block, and OS-level administrative privilege does not grant the ability to mount external storage.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CC0000" w:sz="6"/>
              <w:left w:val="single" w:color="CC0000" w:sz="6"/>
              <w:bottom w:val="single" w:color="CC0000" w:sz="6"/>
              <w:right w:val="single" w:color="CC0000" w:sz="6"/>
            </w:tcBorders>
            <w:shd w:fill="FCE8E8" w:color="auto" w:val="clear"/>
            <w:tcMar>
              <w:top w:type="dxa" w:w="180"/>
              <w:left w:type="dxa" w:w="210"/>
              <w:bottom w:type="dxa" w:w="180"/>
              <w:right w:type="dxa" w:w="210"/>
            </w:tcMar>
          </w:tcPr>
          <w:p>
            <w:pPr>
              <w:spacing w:after="120" w:line="408" w:lineRule="auto"/>
            </w:pPr>
            <w:r>
              <w:rPr>
                <w:b/>
                <w:bCs/>
                <w:i w:val="false"/>
                <w:iCs w:val="false"/>
                <w:color w:val="CC0000"/>
              </w:rPr>
              <w:t xml:space="preserve">⚠ Important — Enforcement Layer Distinction</w:t>
            </w:r>
          </w:p>
          <w:p>
            <w:pPr>
              <w:spacing w:after="120" w:line="360" w:lineRule="auto"/>
            </w:pPr>
            <w:r>
              <w:rPr>
                <w:rFonts w:ascii="Calibri" w:cs="Calibri" w:eastAsia="Calibri" w:hAnsi="Calibri"/>
                <w:b w:val="false"/>
                <w:bCs w:val="false"/>
                <w:i w:val="false"/>
                <w:iCs w:val="false"/>
                <w:strike w:val="false"/>
                <w:color w:val="000000"/>
                <w:sz w:val="22"/>
                <w:szCs w:val="22"/>
              </w:rPr>
              <w:t xml:space="preserve">The external device block is implemented at the kernel driver layer, not at the group policy or OS configuration layer. It cannot be reversed by modifying OS settings, registry entries, or application configuration. Changes to the device block require a kernel update deployed through the standard maintenance process.</w:t>
            </w:r>
          </w:p>
        </w:tc>
      </w:tr>
    </w:tbl>
    <w:p>
      <w:pPr>
        <w:spacing w:after="240" w:before="0"/>
      </w:pP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Exceptions for approved hardware security tokens (e.g., smartcard readers, FIDO2 hardware keys) require explicit whitelisting of the specific device by its serial number. Whitelisting a device exception requires the application administrator to act in Maintenance Mode with dual authorization. The exception is logged with: device serial number, authorized purpose, approving administrator identity, and validity period.</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Regarding printing:</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Top Secret files:</w:t>
      </w:r>
      <w:r>
        <w:rPr>
          <w:rFonts w:ascii="Calibri" w:cs="Calibri" w:eastAsia="Calibri" w:hAnsi="Calibri"/>
          <w:b w:val="false"/>
          <w:bCs w:val="false"/>
          <w:i w:val="false"/>
          <w:iCs w:val="false"/>
          <w:strike w:val="false"/>
          <w:color w:val="000000"/>
          <w:sz w:val="22"/>
          <w:szCs w:val="22"/>
        </w:rPr>
        <w:t xml:space="preserve"> Printing is blocked. No exception is permitted.</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Secret files:</w:t>
      </w:r>
      <w:r>
        <w:rPr>
          <w:rFonts w:ascii="Calibri" w:cs="Calibri" w:eastAsia="Calibri" w:hAnsi="Calibri"/>
          <w:b w:val="false"/>
          <w:bCs w:val="false"/>
          <w:i w:val="false"/>
          <w:iCs w:val="false"/>
          <w:strike w:val="false"/>
          <w:color w:val="000000"/>
          <w:sz w:val="22"/>
          <w:szCs w:val="22"/>
        </w:rPr>
        <w:t xml:space="preserve"> Printing is blocked by default. Exceptions require specific application admin approval on a per-file, per-user basis, logged in the audit record.</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Confidential files:</w:t>
      </w:r>
      <w:r>
        <w:rPr>
          <w:rFonts w:ascii="Calibri" w:cs="Calibri" w:eastAsia="Calibri" w:hAnsi="Calibri"/>
          <w:b w:val="false"/>
          <w:bCs w:val="false"/>
          <w:i w:val="false"/>
          <w:iCs w:val="false"/>
          <w:strike w:val="false"/>
          <w:color w:val="000000"/>
          <w:sz w:val="22"/>
          <w:szCs w:val="22"/>
        </w:rPr>
        <w:t xml:space="preserve"> Printing is permitted only to explicitly registered and approved printers. Every print job generates an audit log entry including: user identity, file identifier, classification label, target printer, number of pages, and timestamp.</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Unclassified files:</w:t>
      </w:r>
      <w:r>
        <w:rPr>
          <w:rFonts w:ascii="Calibri" w:cs="Calibri" w:eastAsia="Calibri" w:hAnsi="Calibri"/>
          <w:b w:val="false"/>
          <w:bCs w:val="false"/>
          <w:i w:val="false"/>
          <w:iCs w:val="false"/>
          <w:strike w:val="false"/>
          <w:color w:val="000000"/>
          <w:sz w:val="22"/>
          <w:szCs w:val="22"/>
        </w:rPr>
        <w:t xml:space="preserve"> Printing is permitted to approved printers with standard audit logging.</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11. Backup Domain</w:t>
      </w:r>
    </w:p>
    <w:p>
      <w:pPr>
        <w:pStyle w:val="Heading2"/>
        <w:spacing w:after="120" w:before="360" w:line="312" w:lineRule="auto"/>
      </w:pPr>
      <w:r>
        <w:rPr>
          <w:rFonts w:ascii="Calibri" w:cs="Calibri" w:eastAsia="Calibri" w:hAnsi="Calibri"/>
          <w:color w:val="1A1A1A"/>
          <w:sz w:val="36"/>
          <w:szCs w:val="36"/>
        </w:rPr>
        <w:t xml:space="preserve">11.1 Architecture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backup domain is a logically and physically isolated network segment dedicated exclusively to backup operations. It has no general-purpose routing path to the production zone and is accessible only to backup operator role sessions. Production systems initiate one-directional data pushes to backup servers using approved, pre-defined backup protocols. No mechanism exists for backup infrastructure to initiate connections to production systems.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one-directional push architecture ensures that even a fully compromised backup server cannot be used to pull data from production, inject malicious content into production systems, or initiate sessions against production resources. The firewall gateway enforces the directionality of the backup channel at the network level.</w:t>
      </w:r>
    </w:p>
    <w:p>
      <w:pPr>
        <w:pStyle w:val="Heading2"/>
        <w:spacing w:after="120" w:before="360" w:line="312" w:lineRule="auto"/>
      </w:pPr>
      <w:r>
        <w:rPr>
          <w:rFonts w:ascii="Calibri" w:cs="Calibri" w:eastAsia="Calibri" w:hAnsi="Calibri"/>
          <w:color w:val="1A1A1A"/>
          <w:sz w:val="36"/>
          <w:szCs w:val="36"/>
        </w:rPr>
        <w:t xml:space="preserve">11.2 Backup Operator Constraints</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Backup operators authenticate within the backup domain only. Their credentials are not valid in the production zone.</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Trust Tickets issued to backup operators are scoped exclusively to backup domain resources. The kernel refuses access to any production zone resource on presentation of a backup-operator-scoped Trust Ticket.</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Backup operators can initiate, monitor, and manage backup jobs, and can initiate restore operations. They cannot browse, read, copy, or access the content of individual production files directly.</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Restore operations for files classified as Confidential or above require application administrator co-approval before the restore is executed. The approval request is logged; the restore does not proceed until the approval is recorded.</w:t>
      </w:r>
    </w:p>
    <w:p>
      <w:pPr>
        <w:pStyle w:val="ListParagraph"/>
        <w:numPr>
          <w:ilvl w:val="0"/>
          <w:numId w:val="1"/>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All backup job starts, completions, errors, and restore requests are written to the audit log.</w:t>
      </w:r>
    </w:p>
    <w:p>
      <w:pPr>
        <w:pStyle w:val="Heading2"/>
        <w:spacing w:after="120" w:before="360" w:line="312" w:lineRule="auto"/>
      </w:pPr>
      <w:r>
        <w:rPr>
          <w:rFonts w:ascii="Calibri" w:cs="Calibri" w:eastAsia="Calibri" w:hAnsi="Calibri"/>
          <w:color w:val="1A1A1A"/>
          <w:sz w:val="36"/>
          <w:szCs w:val="36"/>
        </w:rPr>
        <w:t xml:space="preserve">11.3 Backup Data Security</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Backup data inherits the security classification of the source files at the time of backup. A backup image containing Top Secret data retains its Top Secret classification. Restoring that image to any destination requires Top Secret clearance on the target system and explicit application administrator authorization.</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All backup images are encrypted at rest using encryption keys managed independently from production system keys. The backup encryption key store is held within the backup domain's own key management service, access to which is restricted to the application administrator role and is not accessible to backup operators. This ensures that physical theft of backup media does not expose plaintext data.</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12. Command Groups and Shell Restrictions</w:t>
      </w:r>
    </w:p>
    <w:p>
      <w:pPr>
        <w:pStyle w:val="Heading2"/>
        <w:spacing w:after="120" w:before="360" w:line="312" w:lineRule="auto"/>
      </w:pPr>
      <w:r>
        <w:rPr>
          <w:rFonts w:ascii="Calibri" w:cs="Calibri" w:eastAsia="Calibri" w:hAnsi="Calibri"/>
          <w:color w:val="1A1A1A"/>
          <w:sz w:val="36"/>
          <w:szCs w:val="36"/>
        </w:rPr>
        <w:t xml:space="preserve">12.1 Command Groups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All permitted shell and command-line interface operations on ISCS systems are organized into named command groups. Each command group defines an explicit, bounded set of commands that are permitted for roles assigned to that group. No command may be executed unless it is explicitly listed within a command group assigned to the user's current role. The following command groups are defined:</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12%"/>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Command Group</w:t>
            </w:r>
          </w:p>
        </w:tc>
        <w:tc>
          <w:tcPr>
            <w:tcW w:type="pct" w:w="60%"/>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Description</w:t>
            </w:r>
          </w:p>
        </w:tc>
        <w:tc>
          <w:tcPr>
            <w:tcW w:type="pct" w:w="28%"/>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Roles Permitted</w:t>
            </w:r>
          </w:p>
        </w:tc>
      </w:tr>
      <w:tr>
        <w:trPr>
          <w:tblHeader w:val="false"/>
        </w:trPr>
        <w:tc>
          <w:tcPr>
            <w:tcW w:type="pct" w:w="12%"/>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sys-hw</w:t>
            </w:r>
          </w:p>
        </w:tc>
        <w:tc>
          <w:tcPr>
            <w:tcW w:type="pct" w:w="60%"/>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Hardware management, OS patch installation, service restart, system boot control</w:t>
            </w:r>
          </w:p>
        </w:tc>
        <w:tc>
          <w:tcPr>
            <w:tcW w:type="pct" w:w="2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System Administrator</w:t>
            </w:r>
          </w:p>
        </w:tc>
      </w:tr>
      <w:tr>
        <w:trPr>
          <w:tblHeader w:val="false"/>
        </w:trPr>
        <w:tc>
          <w:tcPr>
            <w:tcW w:type="pct" w:w="12%"/>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net-config</w:t>
            </w:r>
          </w:p>
        </w:tc>
        <w:tc>
          <w:tcPr>
            <w:tcW w:type="pct" w:w="60%"/>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Network interface configuration, routing table inspection (read), firewall rule review (read)</w:t>
            </w:r>
          </w:p>
        </w:tc>
        <w:tc>
          <w:tcPr>
            <w:tcW w:type="pct" w:w="2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System Administrator</w:t>
            </w:r>
          </w:p>
        </w:tc>
      </w:tr>
      <w:tr>
        <w:trPr>
          <w:tblHeader w:val="false"/>
        </w:trPr>
        <w:tc>
          <w:tcPr>
            <w:tcW w:type="pct" w:w="12%"/>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app-manage</w:t>
            </w:r>
          </w:p>
        </w:tc>
        <w:tc>
          <w:tcPr>
            <w:tcW w:type="pct" w:w="60%"/>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Application deployment (approved packages only), application account management, service configuration within the application layer</w:t>
            </w:r>
          </w:p>
        </w:tc>
        <w:tc>
          <w:tcPr>
            <w:tcW w:type="pct" w:w="2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Application Administrator</w:t>
            </w:r>
          </w:p>
        </w:tc>
      </w:tr>
      <w:tr>
        <w:trPr>
          <w:tblHeader w:val="false"/>
        </w:trPr>
        <w:tc>
          <w:tcPr>
            <w:tcW w:type="pct" w:w="12%"/>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sec-policy</w:t>
            </w:r>
          </w:p>
        </w:tc>
        <w:tc>
          <w:tcPr>
            <w:tcW w:type="pct" w:w="60%"/>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Executable whitelist updates, file classification changes, ACL entry management. Available only during Maintenance Mode sessions.</w:t>
            </w:r>
          </w:p>
        </w:tc>
        <w:tc>
          <w:tcPr>
            <w:tcW w:type="pct" w:w="2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Application Administrator (Maintenance Mode only)</w:t>
            </w:r>
          </w:p>
        </w:tc>
      </w:tr>
      <w:tr>
        <w:trPr>
          <w:tblHeader w:val="false"/>
        </w:trPr>
        <w:tc>
          <w:tcPr>
            <w:tcW w:type="pct" w:w="12%"/>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backup-ops</w:t>
            </w:r>
          </w:p>
        </w:tc>
        <w:tc>
          <w:tcPr>
            <w:tcW w:type="pct" w:w="60%"/>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Initiate backup jobs, monitor backup job status, initiate restore requests, manage backup schedules within backup domain</w:t>
            </w:r>
          </w:p>
        </w:tc>
        <w:tc>
          <w:tcPr>
            <w:tcW w:type="pct" w:w="2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Backup Operator</w:t>
            </w:r>
          </w:p>
        </w:tc>
      </w:tr>
      <w:tr>
        <w:trPr>
          <w:tblHeader w:val="false"/>
        </w:trPr>
        <w:tc>
          <w:tcPr>
            <w:tcW w:type="pct" w:w="12%"/>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user-ops</w:t>
            </w:r>
          </w:p>
        </w:tc>
        <w:tc>
          <w:tcPr>
            <w:tcW w:type="pct" w:w="60%"/>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Standard file read/write operations within clearance level, execution of whitelisted applications, standard productivity operations</w:t>
            </w:r>
          </w:p>
        </w:tc>
        <w:tc>
          <w:tcPr>
            <w:tcW w:type="pct" w:w="2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End User</w:t>
            </w:r>
          </w:p>
        </w:tc>
      </w:tr>
      <w:tr>
        <w:trPr>
          <w:tblHeader w:val="false"/>
        </w:trPr>
        <w:tc>
          <w:tcPr>
            <w:tcW w:type="pct" w:w="12%"/>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audit-read</w:t>
            </w:r>
          </w:p>
        </w:tc>
        <w:tc>
          <w:tcPr>
            <w:tcW w:type="pct" w:w="60%"/>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Read audit log entries, filter and search log contents, export log data to approved destinations, generate compliance reports</w:t>
            </w:r>
          </w:p>
        </w:tc>
        <w:tc>
          <w:tcPr>
            <w:tcW w:type="pct" w:w="28%"/>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Auditor</w:t>
            </w:r>
          </w:p>
        </w:tc>
      </w:tr>
    </w:tbl>
    <w:p>
      <w:pPr>
        <w:spacing w:after="200" w:before="0"/>
      </w:pPr>
    </w:p>
    <w:p>
      <w:pPr>
        <w:pStyle w:val="Heading2"/>
        <w:spacing w:after="120" w:before="360" w:line="312" w:lineRule="auto"/>
      </w:pPr>
      <w:r>
        <w:rPr>
          <w:rFonts w:ascii="Calibri" w:cs="Calibri" w:eastAsia="Calibri" w:hAnsi="Calibri"/>
          <w:color w:val="1A1A1A"/>
          <w:sz w:val="36"/>
          <w:szCs w:val="36"/>
        </w:rPr>
        <w:t xml:space="preserve">12.2 Shell Restrictions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Users are placed in a restricted shell environment upon session initiation. The following shell capabilities are disabled except where explicitly permitted within a specific command group definition:</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Pipe chaining</w:t>
      </w:r>
      <w:r>
        <w:rPr>
          <w:rFonts w:ascii="Calibri" w:cs="Calibri" w:eastAsia="Calibri" w:hAnsi="Calibri"/>
          <w:b w:val="false"/>
          <w:bCs w:val="false"/>
          <w:i w:val="false"/>
          <w:iCs w:val="false"/>
          <w:strike w:val="false"/>
          <w:color w:val="000000"/>
          <w:sz w:val="22"/>
          <w:szCs w:val="22"/>
        </w:rPr>
        <w:t xml:space="preserve"> — chaining multiple commands with the pipe operator (|) is disabled, preventing the construction of command pipelines that could be used to bypass individual command restrictions</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Output redirection</w:t>
      </w:r>
      <w:r>
        <w:rPr>
          <w:rFonts w:ascii="Calibri" w:cs="Calibri" w:eastAsia="Calibri" w:hAnsi="Calibri"/>
          <w:b w:val="false"/>
          <w:bCs w:val="false"/>
          <w:i w:val="false"/>
          <w:iCs w:val="false"/>
          <w:strike w:val="false"/>
          <w:color w:val="000000"/>
          <w:sz w:val="22"/>
          <w:szCs w:val="22"/>
        </w:rPr>
        <w:t xml:space="preserve"> — redirecting command output to files (&gt;, &gt;&gt;) or devices is disabled</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Command substitution</w:t>
      </w:r>
      <w:r>
        <w:rPr>
          <w:rFonts w:ascii="Calibri" w:cs="Calibri" w:eastAsia="Calibri" w:hAnsi="Calibri"/>
          <w:b w:val="false"/>
          <w:bCs w:val="false"/>
          <w:i w:val="false"/>
          <w:iCs w:val="false"/>
          <w:strike w:val="false"/>
          <w:color w:val="000000"/>
          <w:sz w:val="22"/>
          <w:szCs w:val="22"/>
        </w:rPr>
        <w:t xml:space="preserve"> — embedding the output of one command as an argument to another ($(), backtick notation) is disabled</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Subshell invocation</w:t>
      </w:r>
      <w:r>
        <w:rPr>
          <w:rFonts w:ascii="Calibri" w:cs="Calibri" w:eastAsia="Calibri" w:hAnsi="Calibri"/>
          <w:b w:val="false"/>
          <w:bCs w:val="false"/>
          <w:i w:val="false"/>
          <w:iCs w:val="false"/>
          <w:strike w:val="false"/>
          <w:color w:val="000000"/>
          <w:sz w:val="22"/>
          <w:szCs w:val="22"/>
        </w:rPr>
        <w:t xml:space="preserve"> — creating child shell processes that may escape restrictions is disabled</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Any attempt to escape the restricted shell — including attempts to invoke an alternative shell binary, use interpreter injection, or exploit scripting engine vulnerabilities — is logged as a high-severity security event and generates an immediate alert. Repeated escape attempts within a session may trigger automatic session suspension.</w:t>
      </w:r>
    </w:p>
    <w:p>
      <w:pPr>
        <w:pStyle w:val="Heading2"/>
        <w:spacing w:after="120" w:before="360" w:line="312" w:lineRule="auto"/>
      </w:pPr>
      <w:r>
        <w:rPr>
          <w:rFonts w:ascii="Calibri" w:cs="Calibri" w:eastAsia="Calibri" w:hAnsi="Calibri"/>
          <w:color w:val="1A1A1A"/>
          <w:sz w:val="36"/>
          <w:szCs w:val="36"/>
        </w:rPr>
        <w:t xml:space="preserve">12.3 Kernel Mediation of Commands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All command execution passes through a kernel-level policy engine before the command is permitted to proceed. The mediation sequence is:</w:t>
      </w:r>
    </w:p>
    <w:p>
      <w:pPr>
        <w:pStyle w:val="ListParagraph"/>
        <w:numPr>
          <w:ilvl w:val="0"/>
          <w:numId w:val="2"/>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Identify the authenticated user's role from the current Trust Ticket</w:t>
      </w:r>
    </w:p>
    <w:p>
      <w:pPr>
        <w:pStyle w:val="ListParagraph"/>
        <w:numPr>
          <w:ilvl w:val="0"/>
          <w:numId w:val="2"/>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Determine which command groups are assigned to that role</w:t>
      </w:r>
    </w:p>
    <w:p>
      <w:pPr>
        <w:pStyle w:val="ListParagraph"/>
        <w:numPr>
          <w:ilvl w:val="0"/>
          <w:numId w:val="2"/>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Verify that the specific command being invoked is explicitly listed in one of the assigned command groups</w:t>
      </w:r>
    </w:p>
    <w:p>
      <w:pPr>
        <w:pStyle w:val="ListParagraph"/>
        <w:numPr>
          <w:ilvl w:val="0"/>
          <w:numId w:val="2"/>
        </w:numPr>
        <w:spacing w:after="60" w:line="408" w:lineRule="auto"/>
        <w:ind w:left="720" w:hanging="360"/>
      </w:pPr>
      <w:r>
        <w:rPr>
          <w:rFonts w:ascii="Calibri" w:cs="Calibri" w:eastAsia="Calibri" w:hAnsi="Calibri"/>
          <w:b w:val="false"/>
          <w:bCs w:val="false"/>
          <w:i w:val="false"/>
          <w:iCs w:val="false"/>
          <w:strike w:val="false"/>
          <w:color w:val="000000"/>
          <w:sz w:val="22"/>
          <w:szCs w:val="22"/>
        </w:rPr>
        <w:t xml:space="preserve">Verify that the current operating mode (Normal or Maintenance) permits the command group to be used; Maintenance Mode-restricted command groups are rejected in Normal Mode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If all four checks pass, the command is permitted to execute. If any check fails, the command is denied, a log entry is written, and the user receives a generic denial message without indication of which check failed. Commands that are not explicitly permitted are denied — there is no implicit grant for commands that are merely absent from the deny list.</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13. Auditing and AI-Assisted Analysis</w:t>
      </w:r>
    </w:p>
    <w:p>
      <w:pPr>
        <w:pStyle w:val="Heading2"/>
        <w:spacing w:after="120" w:before="360" w:line="312" w:lineRule="auto"/>
      </w:pPr>
      <w:r>
        <w:rPr>
          <w:rFonts w:ascii="Calibri" w:cs="Calibri" w:eastAsia="Calibri" w:hAnsi="Calibri"/>
          <w:color w:val="1A1A1A"/>
          <w:sz w:val="36"/>
          <w:szCs w:val="36"/>
        </w:rPr>
        <w:t xml:space="preserve">13.1 Audit Log Architecture</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All system events across all layers of the ISCS are written to a unified, append-only, cryptographically chained audit log. The audit log has the following architectural properties:</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Append-Only.</w:t>
      </w:r>
      <w:r>
        <w:rPr>
          <w:rFonts w:ascii="Calibri" w:cs="Calibri" w:eastAsia="Calibri" w:hAnsi="Calibri"/>
          <w:b w:val="false"/>
          <w:bCs w:val="false"/>
          <w:i w:val="false"/>
          <w:iCs w:val="false"/>
          <w:strike w:val="false"/>
          <w:color w:val="000000"/>
          <w:sz w:val="22"/>
          <w:szCs w:val="22"/>
        </w:rPr>
        <w:t xml:space="preserve"> The log interface exposes only an append operation. Delete and modify operations do not exist at any accessible interface, including interfaces available to system administrators. The append-only property is enforced at the kernel driver level for the log storage medium.</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Cryptographic Chaining.</w:t>
      </w:r>
      <w:r>
        <w:rPr>
          <w:rFonts w:ascii="Calibri" w:cs="Calibri" w:eastAsia="Calibri" w:hAnsi="Calibri"/>
          <w:b w:val="false"/>
          <w:bCs w:val="false"/>
          <w:i w:val="false"/>
          <w:iCs w:val="false"/>
          <w:strike w:val="false"/>
          <w:color w:val="000000"/>
          <w:sz w:val="22"/>
          <w:szCs w:val="22"/>
        </w:rPr>
        <w:t xml:space="preserve"> Each log entry includes a cryptographic hash of the previous log entry (SHA-256 minimum), forming an unbreakable chain. Deletion or modification of any entry in the chain breaks the hash chain, making tampering detectable by any party that reads the log. The chain integrity can be verified independently by the auditor role.</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Dual-Write Replication.</w:t>
      </w:r>
      <w:r>
        <w:rPr>
          <w:rFonts w:ascii="Calibri" w:cs="Calibri" w:eastAsia="Calibri" w:hAnsi="Calibri"/>
          <w:b w:val="false"/>
          <w:bCs w:val="false"/>
          <w:i w:val="false"/>
          <w:iCs w:val="false"/>
          <w:strike w:val="false"/>
          <w:color w:val="000000"/>
          <w:sz w:val="22"/>
          <w:szCs w:val="22"/>
        </w:rPr>
        <w:t xml:space="preserve"> Every log entry is written simultaneously to both local log storage and an out-of-band audit server located in a separate network segment that is not accessible to production-zone users. Loss, destruction, or corruption of local log storage does not eliminate the audit record.</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Retention.</w:t>
      </w:r>
      <w:r>
        <w:rPr>
          <w:rFonts w:ascii="Calibri" w:cs="Calibri" w:eastAsia="Calibri" w:hAnsi="Calibri"/>
          <w:b w:val="false"/>
          <w:bCs w:val="false"/>
          <w:i w:val="false"/>
          <w:iCs w:val="false"/>
          <w:strike w:val="false"/>
          <w:color w:val="000000"/>
          <w:sz w:val="22"/>
          <w:szCs w:val="22"/>
        </w:rPr>
        <w:t xml:space="preserve"> Logs are retained for a minimum of seven years or per the applicable regulatory requirement, whichever is longer. Retention enforcement is managed by the audit server, which is outside the write authority of all production zone roles.</w:t>
      </w:r>
    </w:p>
    <w:p>
      <w:pPr>
        <w:pStyle w:val="Heading2"/>
        <w:spacing w:after="120" w:before="360" w:line="312" w:lineRule="auto"/>
      </w:pPr>
      <w:r>
        <w:rPr>
          <w:rFonts w:ascii="Calibri" w:cs="Calibri" w:eastAsia="Calibri" w:hAnsi="Calibri"/>
          <w:color w:val="1A1A1A"/>
          <w:sz w:val="36"/>
          <w:szCs w:val="36"/>
        </w:rPr>
        <w:t xml:space="preserve">13.2 Logged Events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following event categories are logged. Every log entry includes at minimum: event type, user identity, Trust Ticket ID, source IP, workstation fingerprint, timestamp (UTC), and outcome.</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tblGrid>
      <w:tr>
        <w:trPr>
          <w:tblHeader/>
        </w:trPr>
        <w:tc>
          <w:tcPr>
            <w:tcW w:type="pct" w:w="14%"/>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Event Category</w:t>
            </w:r>
          </w:p>
        </w:tc>
        <w:tc>
          <w:tcPr>
            <w:tcW w:type="pct" w:w="86%"/>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Examples</w:t>
            </w:r>
          </w:p>
        </w:tc>
      </w:tr>
      <w:tr>
        <w:trPr>
          <w:tblHeader w:val="false"/>
        </w:trPr>
        <w:tc>
          <w:tcPr>
            <w:tcW w:type="pct" w:w="14%"/>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Authentication</w:t>
            </w:r>
          </w:p>
        </w:tc>
        <w:tc>
          <w:tcPr>
            <w:tcW w:type="pct" w:w="8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Login success and failure; Trust Ticket issuance and revocation; IP address mismatch during session; device fingerprint mismatch; account lockout events</w:t>
            </w:r>
          </w:p>
        </w:tc>
      </w:tr>
      <w:tr>
        <w:trPr>
          <w:tblHeader w:val="false"/>
        </w:trPr>
        <w:tc>
          <w:tcPr>
            <w:tcW w:type="pct" w:w="14%"/>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Access Control</w:t>
            </w:r>
          </w:p>
        </w:tc>
        <w:tc>
          <w:tcPr>
            <w:tcW w:type="pct" w:w="8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File access granted or denied (with file identifier and classification label); program execution allowed or blocked (with executable hash); ACL mismatch on connection attempt; clearance-level access violation</w:t>
            </w:r>
          </w:p>
        </w:tc>
      </w:tr>
      <w:tr>
        <w:trPr>
          <w:tblHeader w:val="false"/>
        </w:trPr>
        <w:tc>
          <w:tcPr>
            <w:tcW w:type="pct" w:w="14%"/>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Attribute Change</w:t>
            </w:r>
          </w:p>
        </w:tc>
        <w:tc>
          <w:tcPr>
            <w:tcW w:type="pct" w:w="8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Any attempt to modify a security attribute (blocked in Normal Mode with full context logged; permitted in Maintenance Mode with before-value, after-value, and both authorizer identities logged)</w:t>
            </w:r>
          </w:p>
        </w:tc>
      </w:tr>
      <w:tr>
        <w:trPr>
          <w:tblHeader w:val="false"/>
        </w:trPr>
        <w:tc>
          <w:tcPr>
            <w:tcW w:type="pct" w:w="14%"/>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Mode Transition</w:t>
            </w:r>
          </w:p>
        </w:tc>
        <w:tc>
          <w:tcPr>
            <w:tcW w:type="pct" w:w="8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Entry into Maintenance Mode (with both authorizer identities and stated purpose); exit from Maintenance Mode (with duration and summary of changes made); automated timeout return to Normal Mode</w:t>
            </w:r>
          </w:p>
        </w:tc>
      </w:tr>
      <w:tr>
        <w:trPr>
          <w:tblHeader w:val="false"/>
        </w:trPr>
        <w:tc>
          <w:tcPr>
            <w:tcW w:type="pct" w:w="14%"/>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Network</w:t>
            </w:r>
          </w:p>
        </w:tc>
        <w:tc>
          <w:tcPr>
            <w:tcW w:type="pct" w:w="8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Firewall block events (inbound and outbound); unauthorized connection attempts; outbound whitelist violations; ACL-rejected connection attempts; IP address anomalies detected mid-session</w:t>
            </w:r>
          </w:p>
        </w:tc>
      </w:tr>
      <w:tr>
        <w:trPr>
          <w:tblHeader w:val="false"/>
        </w:trPr>
        <w:tc>
          <w:tcPr>
            <w:tcW w:type="pct" w:w="14%"/>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External Device</w:t>
            </w:r>
          </w:p>
        </w:tc>
        <w:tc>
          <w:tcPr>
            <w:tcW w:type="pct" w:w="8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USB or external storage device insertion attempt (blocked); approved hardware token insertion; print job attempts (permitted and denied) with file classification and target printer identity</w:t>
            </w:r>
          </w:p>
        </w:tc>
      </w:tr>
      <w:tr>
        <w:trPr>
          <w:tblHeader w:val="false"/>
        </w:trPr>
        <w:tc>
          <w:tcPr>
            <w:tcW w:type="pct" w:w="14%"/>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Command Execution</w:t>
            </w:r>
          </w:p>
        </w:tc>
        <w:tc>
          <w:tcPr>
            <w:tcW w:type="pct" w:w="8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All commands executed, with: user identity, role, command group, full command text, operating mode, and outcome (permitted or denied)</w:t>
            </w:r>
          </w:p>
        </w:tc>
      </w:tr>
      <w:tr>
        <w:trPr>
          <w:tblHeader w:val="false"/>
        </w:trPr>
        <w:tc>
          <w:tcPr>
            <w:tcW w:type="pct" w:w="14%"/>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Backup</w:t>
            </w:r>
          </w:p>
        </w:tc>
        <w:tc>
          <w:tcPr>
            <w:tcW w:type="pct" w:w="8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Backup job initiation and completion; backup job errors; restore requests (with requesting backup operator identity); restore approvals or denials (with approving application administrator identity)</w:t>
            </w:r>
          </w:p>
        </w:tc>
      </w:tr>
    </w:tbl>
    <w:p>
      <w:pPr>
        <w:spacing w:after="200" w:before="0"/>
      </w:pPr>
    </w:p>
    <w:p>
      <w:pPr>
        <w:pStyle w:val="Heading2"/>
        <w:spacing w:after="120" w:before="360" w:line="312" w:lineRule="auto"/>
      </w:pPr>
      <w:r>
        <w:rPr>
          <w:rFonts w:ascii="Calibri" w:cs="Calibri" w:eastAsia="Calibri" w:hAnsi="Calibri"/>
          <w:color w:val="1A1A1A"/>
          <w:sz w:val="36"/>
          <w:szCs w:val="36"/>
        </w:rPr>
        <w:t xml:space="preserve">13.3 AI-Assisted Anomaly Detection</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An AI analysis layer operates as a separate process that reads the audit stream in real time. It does not have write access to the audit log, does not have authority to independently take enforcement actions, and is itself subject to logging of its own decisions. The analysis layer provides the following capabilities:</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Behavioral Baseline.</w:t>
      </w:r>
      <w:r>
        <w:rPr>
          <w:rFonts w:ascii="Calibri" w:cs="Calibri" w:eastAsia="Calibri" w:hAnsi="Calibri"/>
          <w:b w:val="false"/>
          <w:bCs w:val="false"/>
          <w:i w:val="false"/>
          <w:iCs w:val="false"/>
          <w:strike w:val="false"/>
          <w:color w:val="000000"/>
          <w:sz w:val="22"/>
          <w:szCs w:val="22"/>
        </w:rPr>
        <w:t xml:space="preserve"> The AI model constructs and maintains per-user, per-role, per-workstation, and per-time-of-day behavioral profiles from the audit stream. Baselines are established over a training period and updated continuously, with safeguards against deliberate baseline manipulation (see Section 16).</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Anomaly Flagging.</w:t>
      </w:r>
      <w:r>
        <w:rPr>
          <w:rFonts w:ascii="Calibri" w:cs="Calibri" w:eastAsia="Calibri" w:hAnsi="Calibri"/>
          <w:b w:val="false"/>
          <w:bCs w:val="false"/>
          <w:i w:val="false"/>
          <w:iCs w:val="false"/>
          <w:strike w:val="false"/>
          <w:color w:val="000000"/>
          <w:sz w:val="22"/>
          <w:szCs w:val="22"/>
        </w:rPr>
        <w:t xml:space="preserve"> Deviations from established baselines are flagged for review. Specific detection targets include: access at unusual hours; abnormal file access volume or velocity; commands that fall outside the historical pattern for a role; rapid succession of failed access attempts; access to a new category of resource not previously accessed by that user.</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Correlated Alerts.</w:t>
      </w:r>
      <w:r>
        <w:rPr>
          <w:rFonts w:ascii="Calibri" w:cs="Calibri" w:eastAsia="Calibri" w:hAnsi="Calibri"/>
          <w:b w:val="false"/>
          <w:bCs w:val="false"/>
          <w:i w:val="false"/>
          <w:iCs w:val="false"/>
          <w:strike w:val="false"/>
          <w:color w:val="000000"/>
          <w:sz w:val="22"/>
          <w:szCs w:val="22"/>
        </w:rPr>
        <w:t xml:space="preserve"> The AI layer correlates events across multiple users, workstations, and time windows to detect coordinated insider activity that would appear benign in isolation. For example: one user reading a large volume of files while a second user simultaneously creates numerous outbound connection attempts.</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Escalation.</w:t>
      </w:r>
      <w:r>
        <w:rPr>
          <w:rFonts w:ascii="Calibri" w:cs="Calibri" w:eastAsia="Calibri" w:hAnsi="Calibri"/>
          <w:b w:val="false"/>
          <w:bCs w:val="false"/>
          <w:i w:val="false"/>
          <w:iCs w:val="false"/>
          <w:strike w:val="false"/>
          <w:color w:val="000000"/>
          <w:sz w:val="22"/>
          <w:szCs w:val="22"/>
        </w:rPr>
        <w:t xml:space="preserve"> High-confidence anomalies (above a defined confidence threshold) trigger an automatic session suspension request to the kernel, which places the session in a suspended state pending human review. Medium-confidence anomalies generate priority alerts to the security operations team without automatic suspension. Low-confidence anomalies are recorded in an AI observation log for trend analysis.</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Human-in-the-Loop Enforcement.</w:t>
      </w:r>
      <w:r>
        <w:rPr>
          <w:rFonts w:ascii="Calibri" w:cs="Calibri" w:eastAsia="Calibri" w:hAnsi="Calibri"/>
          <w:b w:val="false"/>
          <w:bCs w:val="false"/>
          <w:i w:val="false"/>
          <w:iCs w:val="false"/>
          <w:strike w:val="false"/>
          <w:color w:val="000000"/>
          <w:sz w:val="22"/>
          <w:szCs w:val="22"/>
        </w:rPr>
        <w:t xml:space="preserve"> The AI model cannot unilaterally suspend a session in a permanent or irreversible manner. Session suspensions triggered by AI are pending states that require human confirmation within a defined time window. If not confirmed, the session may be restored. All AI suspension recommendations are logged with the model's confidence score and the contributing event identifiers.</w:t>
      </w:r>
    </w:p>
    <w:p>
      <w:pPr>
        <w:pStyle w:val="ListParagraph"/>
        <w:numPr>
          <w:ilvl w:val="0"/>
          <w:numId w:val="1"/>
        </w:numPr>
        <w:spacing w:after="60" w:line="408" w:lineRule="auto"/>
        <w:ind w:left="720" w:hanging="360"/>
      </w:pPr>
      <w:r>
        <w:rPr>
          <w:rFonts w:ascii="Calibri" w:cs="Calibri" w:eastAsia="Calibri" w:hAnsi="Calibri"/>
          <w:b/>
          <w:bCs/>
          <w:i w:val="false"/>
          <w:iCs w:val="false"/>
          <w:strike w:val="false"/>
          <w:color w:val="000000"/>
          <w:sz w:val="22"/>
          <w:szCs w:val="22"/>
        </w:rPr>
        <w:t xml:space="preserve">Audit of AI.</w:t>
      </w:r>
      <w:r>
        <w:rPr>
          <w:rFonts w:ascii="Calibri" w:cs="Calibri" w:eastAsia="Calibri" w:hAnsi="Calibri"/>
          <w:b w:val="false"/>
          <w:bCs w:val="false"/>
          <w:i w:val="false"/>
          <w:iCs w:val="false"/>
          <w:strike w:val="false"/>
          <w:color w:val="000000"/>
          <w:sz w:val="22"/>
          <w:szCs w:val="22"/>
        </w:rPr>
        <w:t xml:space="preserve"> All AI model decisions — anomaly scores, flagging events, escalation recommendations — are written to a separate, append-only AI decision log. The model cannot modify this log. The AI decision log is accessible to the auditor role and subject to the same integrity protections as the primary audit log.</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14. System Architecture Overview</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following diagram presents a comprehensive view of the ISCS architecture, showing the relationships between user endpoints, enforcement layers, and backend resources. All access flows pass through the enforcement layer; no direct path from user endpoint to backend resources exists.</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single" w:color="2B5797" w:sz="24"/>
              <w:bottom w:val="nil" w:color="FFFFFF" w:sz="0"/>
              <w:right w:val="nil" w:color="FFFFFF" w:sz="0"/>
            </w:tcBorders>
            <w:shd w:fill="F5F7FA" w:color="auto" w:val="clear"/>
            <w:tcMar>
              <w:top w:type="dxa" w:w="210"/>
              <w:left w:type="dxa" w:w="240"/>
              <w:bottom w:type="dxa" w:w="210"/>
              <w:right w:type="dxa" w:w="240"/>
            </w:tcMar>
          </w:tcPr>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INSIDER-SAFE SYSTEM ARCHITECTURE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USER ENDPOINT                ENFORCEMENT LAYER           BACKEND RESOURCES</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Login+4FA</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Fixed-IP</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TRUST TICKET</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Registered</w:t>
            </w:r>
          </w:p>
          <w:p>
            <w:pPr>
              <w:spacing w:after="120" w:line="408" w:lineRule="auto"/>
            </w:pPr>
            <w:r>
              <w:t xml:space="preserve">│</w:t>
            </w:r>
          </w:p>
          <w:p>
            <w:pPr>
              <w:spacing w:after="120" w:line="408" w:lineRule="auto"/>
            </w:pPr>
            <w:r>
              <w:t xml:space="preserve">│</w:t>
            </w:r>
          </w:p>
          <w:p>
            <w:pPr>
              <w:spacing w:after="120" w:line="408" w:lineRule="auto"/>
            </w:pPr>
            <w:r>
              <w:t xml:space="preserve">ENGINE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Device</w:t>
            </w:r>
          </w:p>
          <w:p>
            <w:pPr>
              <w:spacing w:after="120" w:line="408" w:lineRule="auto"/>
            </w:pPr>
            <w:r>
              <w:t xml:space="preserve">│</w:t>
            </w:r>
          </w:p>
          <w:p>
            <w:pPr>
              <w:spacing w:after="120" w:line="408" w:lineRule="auto"/>
            </w:pPr>
            <w:r>
              <w:t xml:space="preserve">│</w:t>
            </w:r>
          </w:p>
          <w:p>
            <w:pPr>
              <w:spacing w:after="120" w:line="408" w:lineRule="auto"/>
            </w:pPr>
            <w:r>
              <w:t xml:space="preserve">ID+PW+IP+Device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+Time Token</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Trust Ticket</w:t>
            </w:r>
          </w:p>
          <w:p>
            <w:pPr>
              <w:spacing w:after="120" w:line="408" w:lineRule="auto"/>
            </w:pPr>
            <w:r>
              <w:t xml:space="preserve">│</w:t>
            </w:r>
          </w:p>
          <w:p>
            <w:pPr>
              <w:spacing w:after="120" w:line="408" w:lineRule="auto"/>
            </w:pPr>
            <w:r>
              <w:t xml:space="preserve">Ticket Issued</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Restricted</w:t>
            </w:r>
          </w:p>
          <w:p>
            <w:pPr>
              <w:spacing w:after="120" w:line="408" w:lineRule="auto"/>
            </w:pPr>
            <w:r>
              <w:t xml:space="preserve">│</w:t>
            </w:r>
          </w:p>
          <w:p>
            <w:pPr>
              <w:spacing w:after="120" w:line="408" w:lineRule="auto"/>
            </w:pPr>
            <w:r>
              <w:t xml:space="preserve">Command</w:t>
            </w:r>
          </w:p>
          <w:p>
            <w:pPr>
              <w:spacing w:after="120" w:line="408" w:lineRule="auto"/>
            </w:pPr>
            <w:r>
              <w:t xml:space="preserve">│</w:t>
            </w:r>
          </w:p>
          <w:p>
            <w:pPr>
              <w:spacing w:after="120" w:line="408" w:lineRule="auto"/>
            </w:pPr>
            <w:r>
              <w:t xml:space="preserve">KERNEL MAC</w:t>
            </w:r>
          </w:p>
          <w:p>
            <w:pPr>
              <w:spacing w:after="120" w:line="408" w:lineRule="auto"/>
            </w:pPr>
            <w:r>
              <w:t xml:space="preserve">│</w:t>
            </w:r>
          </w:p>
          <w:p>
            <w:pPr>
              <w:spacing w:after="120" w:line="408" w:lineRule="auto"/>
            </w:pPr>
            <w:r>
              <w:t xml:space="preserve">│</w:t>
            </w:r>
          </w:p>
          <w:p>
            <w:pPr>
              <w:spacing w:after="120" w:line="408" w:lineRule="auto"/>
            </w:pPr>
            <w:r>
              <w:t xml:space="preserve">File Store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Shell /</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POLICY ENGINE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(Classified</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Command</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Attributes)</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Groups</w:t>
            </w:r>
          </w:p>
          <w:p>
            <w:pPr>
              <w:spacing w:after="120" w:line="408" w:lineRule="auto"/>
            </w:pPr>
            <w:r>
              <w:t xml:space="preserve">│</w:t>
            </w:r>
          </w:p>
          <w:p>
            <w:pPr>
              <w:spacing w:after="120" w:line="408" w:lineRule="auto"/>
            </w:pPr>
            <w:r>
              <w:t xml:space="preserve">│</w:t>
            </w:r>
          </w:p>
          <w:p>
            <w:pPr>
              <w:spacing w:after="120" w:line="408" w:lineRule="auto"/>
            </w:pPr>
            <w:r>
              <w:t xml:space="preserve">- Attr Check</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 Role Check</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 Mode Check</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 IP/ACL Check</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Exec Whitelist</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Exec</w:t>
            </w:r>
          </w:p>
          <w:p>
            <w:pPr>
              <w:spacing w:after="120" w:line="408" w:lineRule="auto"/>
            </w:pPr>
            <w:r>
              <w:t xml:space="preserve">│</w:t>
            </w:r>
          </w:p>
          <w:p>
            <w:pPr>
              <w:spacing w:after="120" w:line="408" w:lineRule="auto"/>
            </w:pPr>
            <w:r>
              <w:t xml:space="preserve">Launch Req</w:t>
            </w:r>
          </w:p>
          <w:p>
            <w:pPr>
              <w:spacing w:after="120" w:line="408" w:lineRule="auto"/>
            </w:pPr>
            <w:r>
              <w:t xml:space="preserve">│</w:t>
            </w:r>
          </w:p>
          <w:p>
            <w:pPr>
              <w:spacing w:after="120" w:line="408" w:lineRule="auto"/>
            </w:pPr>
            <w:r>
              <w:t xml:space="preserve">- Exec Check</w:t>
            </w:r>
          </w:p>
          <w:p>
            <w:pPr>
              <w:spacing w:after="120" w:line="408" w:lineRule="auto"/>
            </w:pPr>
            <w:r>
              <w:t xml:space="preserve">│</w:t>
            </w:r>
          </w:p>
          <w:p>
            <w:pPr>
              <w:spacing w:after="120" w:line="408" w:lineRule="auto"/>
            </w:pPr>
            <w:r>
              <w:t xml:space="preserve">│</w:t>
            </w:r>
          </w:p>
          <w:p>
            <w:pPr>
              <w:spacing w:after="120" w:line="408" w:lineRule="auto"/>
            </w:pPr>
            <w:r>
              <w:t xml:space="preserve">(Signed, Hashed)</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Request</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All Events</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Network</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Firewall</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AUDIT ENGINE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AI Anomaly</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In+Out</w:t>
            </w:r>
          </w:p>
          <w:p>
            <w:pPr>
              <w:spacing w:after="120" w:line="408" w:lineRule="auto"/>
            </w:pPr>
            <w:r>
              <w:t xml:space="preserve">│</w:t>
            </w:r>
          </w:p>
          <w:p>
            <w:pPr>
              <w:spacing w:after="120" w:line="408" w:lineRule="auto"/>
            </w:pPr>
            <w:r>
              <w:t xml:space="preserve">Block/Log</w:t>
            </w:r>
          </w:p>
          <w:p>
            <w:pPr>
              <w:spacing w:after="120" w:line="408" w:lineRule="auto"/>
            </w:pPr>
            <w:r>
              <w:t xml:space="preserve">│</w:t>
            </w:r>
          </w:p>
          <w:p>
            <w:pPr>
              <w:spacing w:after="120" w:line="408" w:lineRule="auto"/>
            </w:pPr>
            <w:r>
              <w:t xml:space="preserve">(Append-Only,</w:t>
            </w:r>
          </w:p>
          <w:p>
            <w:pPr>
              <w:spacing w:after="120" w:line="408" w:lineRule="auto"/>
            </w:pPr>
            <w:r>
              <w:t xml:space="preserve">│</w:t>
            </w:r>
          </w:p>
          <w:p>
            <w:pPr>
              <w:spacing w:after="120" w:line="408" w:lineRule="auto"/>
            </w:pPr>
            <w:r>
              <w:t xml:space="preserve">│</w:t>
            </w:r>
          </w:p>
          <w:p>
            <w:pPr>
              <w:spacing w:after="120" w:line="408" w:lineRule="auto"/>
            </w:pPr>
            <w:r>
              <w:t xml:space="preserve">Detection</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Whitelist</w:t>
            </w:r>
          </w:p>
          <w:p>
            <w:pPr>
              <w:spacing w:after="120" w:line="408" w:lineRule="auto"/>
            </w:pPr>
            <w:r>
              <w:t xml:space="preserve">│</w:t>
            </w:r>
          </w:p>
          <w:p>
            <w:pPr>
              <w:spacing w:after="120" w:line="408" w:lineRule="auto"/>
            </w:pPr>
            <w:r>
              <w:t xml:space="preserve">│</w:t>
            </w:r>
          </w:p>
          <w:p>
            <w:pPr>
              <w:spacing w:after="120" w:line="408" w:lineRule="auto"/>
            </w:pPr>
            <w:r>
              <w:t xml:space="preserve">Crypto-Chained)</w:t>
            </w:r>
          </w:p>
          <w:p>
            <w:pPr>
              <w:spacing w:after="120" w:line="408" w:lineRule="auto"/>
            </w:pPr>
            <w:r>
              <w:t xml:space="preserve">│</w:t>
            </w:r>
          </w:p>
          <w:p>
            <w:pPr>
              <w:spacing w:after="120" w:line="408" w:lineRule="auto"/>
            </w:pPr>
            <w:r>
              <w:t xml:space="preserve">│</w:t>
            </w:r>
          </w:p>
          <w:p>
            <w:pPr>
              <w:spacing w:after="120" w:line="408" w:lineRule="auto"/>
            </w:pPr>
            <w:r>
              <w:t xml:space="preserve">Layer</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BACKUP DOMAIN (ISOLATED)</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Production</w:t>
            </w:r>
          </w:p>
          <w:p>
            <w:pPr>
              <w:spacing w:after="120" w:line="408" w:lineRule="auto"/>
            </w:pPr>
            <w:r>
              <w:t xml:space="preserve">─</w:t>
            </w:r>
          </w:p>
          <w:p>
            <w:pPr>
              <w:spacing w:after="120" w:line="408" w:lineRule="auto"/>
            </w:pPr>
            <w:r>
              <w:t xml:space="preserve">─</w:t>
            </w:r>
          </w:p>
          <w:p>
            <w:pPr>
              <w:spacing w:after="120" w:line="408" w:lineRule="auto"/>
            </w:pPr>
            <w:r>
              <w:t xml:space="preserve">push</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Backup Servers</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Backup Operator (scoped)</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Encrypted at rest | Restore requires co-approval</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p>
            <w:pPr>
              <w:spacing w:after="120" w:line="408" w:lineRule="auto"/>
            </w:pPr>
            <w:r>
              <w:t xml:space="preserve">┘</w:t>
            </w:r>
          </w:p>
        </w:tc>
      </w:tr>
    </w:tbl>
    <w:p>
      <w:pPr>
        <w:spacing w:after="240" w:before="0"/>
      </w:pP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diagram illustrates the following key properties of the architecture: every access path from the user endpoint passes through the Kernel MAC Policy Engine; the Audit Engine receives events from all components and cannot be bypassed; the Backup Domain has no inbound paths from user endpoints; and the Network Firewall operates as both an inbound filter and a recipient of block/log instructions from the Audit Engine.</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15. Enforcement Points Summary</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following table provides a consolidated reference of all enforcement points in the ISCS, the specific mechanism each uses, the layer at which it operates, and the threat scenario it principally defeats. Multiple enforcement points address overlapping threat scenarios, providing defense in depth.</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gridCol w:w="100"/>
      </w:tblGrid>
      <w:tr>
        <w:trPr>
          <w:tblHeader/>
        </w:trPr>
        <w:tc>
          <w:tcPr>
            <w:tcW w:type="pct" w:w="18%"/>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Enforcement Point</w:t>
            </w:r>
          </w:p>
        </w:tc>
        <w:tc>
          <w:tcPr>
            <w:tcW w:type="pct" w:w="36%"/>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Mechanism</w:t>
            </w:r>
          </w:p>
        </w:tc>
        <w:tc>
          <w:tcPr>
            <w:tcW w:type="pct" w:w="17%"/>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Layer</w:t>
            </w:r>
          </w:p>
        </w:tc>
        <w:tc>
          <w:tcPr>
            <w:tcW w:type="pct" w:w="29%"/>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Defeats Threat</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Trust Ticket Binding</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ID+PW + IP + Device fingerprint + Time token; all four factors required</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Authentication Service + Kernel</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Credential theft; session hijacking; credential sharing</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Kernel MAC Engine</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Mandatory file and program security attribute evaluation at every access</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Kernel (TCB)</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Unauthorized file access; clearance-level violation; privilege escalation</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Attribute Immutability</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Kernel-protected attribute store; write operations blocked in Normal Mode</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Kernel (TCB)</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Attribute tampering; classification downgrade; role self-assignment</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Maintenance Mode Gate</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Dual authorization required; time-limited; fully audited; only pre-approved commands available</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Mode Controller (Kernel)</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Unauthorized policy changes; single-actor attribute manipulation</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Executable Whitelist</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Hash + digital signature verification at process creation; fail-closed for unknown binaries</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Kernel (Process Creation)</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Malicious program execution; unauthorized tool use; malware deployment</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IP-based ACL</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Fixed registered IP per device; ACL entries on all production resources; non-whitelisted IPs dropped</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Network + Kernel</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Lateral movement; IP spoofing; unauthorized device access</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Inbound Firewall Whitelist</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Permitted source IPs and ports only; all other inbound traffic silently dropped</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Network Gateway</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Unauthorized inbound connections; port scanning; network intrusion</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Outbound Firewall Whitelist</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Permitted destination IPs and ports only; all other outbound traffic blocked and logged</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Network Gateway</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Data exfiltration via network; unauthorized external connections</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External Device Block</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Kernel driver-level block on all external storage device classes</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Kernel (Device Driver)</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USB/optical/SD exfiltration; unauthorized media introduction</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Guest WiFi Isolation</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Separate routing segment; no routing path to production or backup zones; enforced at router/firewall</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Network Router/Firewall</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Unauthorized device access; rogue device production access</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Backup Domain Isolation</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Separate network segment; scoped Trust Tickets; one-directional backup push only</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Network + Kernel</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Backup operator data access; backup domain lateral movement</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Command Groups + Shell Restriction</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Kernel command policy engine; restricted shell; explicit command list per role</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Kernel + Shell</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Command abuse; shell escape; unauthorized tool execution</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Append-Only Audit Log</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Cryptographic chaining; append-only kernel interface; dual-write replication to out-of-band server</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Kernel + Audit Server</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Audit tampering; evidence destruction; forensic gap creation</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AI Anomaly Detection</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Real-time behavioral analysis of audit stream; pattern correlation across users and systems</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Audit Analysis Layer</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Slow/subtle insider attacks; coordinated multi-user attacks; pattern evasion</w:t>
            </w:r>
          </w:p>
        </w:tc>
      </w:tr>
      <w:tr>
        <w:trPr>
          <w:tblHeader w:val="false"/>
        </w:trPr>
        <w:tc>
          <w:tcPr>
            <w:tcW w:type="pct" w:w="18%"/>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Role Separation</w:t>
            </w:r>
          </w:p>
        </w:tc>
        <w:tc>
          <w:tcPr>
            <w:tcW w:type="pct" w:w="36%"/>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Immutable role assignments in kernel attribute store; kernel enforces role boundaries at access time</w:t>
            </w:r>
          </w:p>
        </w:tc>
        <w:tc>
          <w:tcPr>
            <w:tcW w:type="pct" w:w="17%"/>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Kernel Attribute Store</w:t>
            </w:r>
          </w:p>
        </w:tc>
        <w:tc>
          <w:tcPr>
            <w:tcW w:type="pct" w:w="29%"/>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Administrative overreach; duty conflation; single-admin data access</w:t>
            </w:r>
          </w:p>
        </w:tc>
      </w:tr>
    </w:tbl>
    <w:p>
      <w:pPr>
        <w:spacing w:after="200" w:before="0"/>
      </w:pP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16. Residual Risks and Mitigations</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No architecture eliminates all risk. The following residual risks have been identified and are accepted with the stated mitigations in place. Each risk represents a scenario in which an attacker could potentially succeed despite the controls described in this document. These risks are disclosed honestly so that operational teams can supplement the architecture with appropriate compensating controls.</w:t>
      </w:r>
    </w:p>
    <w:p>
      <w:pPr>
        <w:spacing w:after="120" w:before="60" w:line="360" w:lineRule="auto"/>
      </w:pPr>
      <w:r>
        <w:rPr>
          <w:rFonts w:ascii="Calibri" w:cs="Calibri" w:eastAsia="Calibri" w:hAnsi="Calibri"/>
          <w:b/>
          <w:bCs/>
          <w:i w:val="false"/>
          <w:iCs w:val="false"/>
          <w:strike w:val="false"/>
          <w:color w:val="000000"/>
          <w:sz w:val="22"/>
          <w:szCs w:val="22"/>
        </w:rPr>
        <w:t xml:space="preserve">Physical Coercion.</w:t>
      </w:r>
      <w:r>
        <w:rPr>
          <w:rFonts w:ascii="Calibri" w:cs="Calibri" w:eastAsia="Calibri" w:hAnsi="Calibri"/>
          <w:b w:val="false"/>
          <w:bCs w:val="false"/>
          <w:i w:val="false"/>
          <w:iCs w:val="false"/>
          <w:strike w:val="false"/>
          <w:color w:val="000000"/>
          <w:sz w:val="22"/>
          <w:szCs w:val="22"/>
        </w:rPr>
        <w:t xml:space="preserve"> An authorized insider is physically coerced or threatened into performing actions under duress that they would not voluntarily perform. The attacker uses the insider's legitimate presence, credentials, and device to authenticate and take actions that appear legitimate.</w:t>
      </w:r>
    </w:p>
    <w:p>
      <w:pPr>
        <w:spacing w:after="120" w:before="60" w:line="360" w:lineRule="auto"/>
      </w:pPr>
      <w:r>
        <w:rPr>
          <w:rFonts w:ascii="Calibri" w:cs="Calibri" w:eastAsia="Calibri" w:hAnsi="Calibri"/>
          <w:b w:val="false"/>
          <w:bCs w:val="false"/>
          <w:i/>
          <w:iCs/>
          <w:strike w:val="false"/>
          <w:color w:val="000000"/>
          <w:sz w:val="22"/>
          <w:szCs w:val="22"/>
        </w:rPr>
        <w:t xml:space="preserve">Mitigations:</w:t>
      </w:r>
      <w:r>
        <w:rPr>
          <w:rFonts w:ascii="Calibri" w:cs="Calibri" w:eastAsia="Calibri" w:hAnsi="Calibri"/>
          <w:b w:val="false"/>
          <w:bCs w:val="false"/>
          <w:i w:val="false"/>
          <w:iCs w:val="false"/>
          <w:strike w:val="false"/>
          <w:color w:val="000000"/>
          <w:sz w:val="22"/>
          <w:szCs w:val="22"/>
        </w:rPr>
        <w:t xml:space="preserve"> Trust Tickets are time-limited, reducing the window of coerced access. AI anomaly detection is sensitive to behavioral changes such as access at unusual hours, unusual locations, or access patterns inconsistent with the user's baseline. Dual-person integrity requirements for sensitive operations mean that coercing a single user is insufficient to complete the most critical operations. Duress indicators may be operationally integrated for high-risk roles.</w:t>
      </w:r>
    </w:p>
    <w:p>
      <w:pPr>
        <w:spacing w:after="120" w:before="60" w:line="360" w:lineRule="auto"/>
      </w:pPr>
      <w:r>
        <w:rPr>
          <w:rFonts w:ascii="Calibri" w:cs="Calibri" w:eastAsia="Calibri" w:hAnsi="Calibri"/>
          <w:b/>
          <w:bCs/>
          <w:i w:val="false"/>
          <w:iCs w:val="false"/>
          <w:strike w:val="false"/>
          <w:color w:val="000000"/>
          <w:sz w:val="22"/>
          <w:szCs w:val="22"/>
        </w:rPr>
        <w:t xml:space="preserve">Kernel Compromise.</w:t>
      </w:r>
      <w:r>
        <w:rPr>
          <w:rFonts w:ascii="Calibri" w:cs="Calibri" w:eastAsia="Calibri" w:hAnsi="Calibri"/>
          <w:b w:val="false"/>
          <w:bCs w:val="false"/>
          <w:i w:val="false"/>
          <w:iCs w:val="false"/>
          <w:strike w:val="false"/>
          <w:color w:val="000000"/>
          <w:sz w:val="22"/>
          <w:szCs w:val="22"/>
        </w:rPr>
        <w:t xml:space="preserve"> The Trusted Computing Base itself — the kernel, including the MAC policy engine and the attribute store — is subverted through a zero-day vulnerability, a malicious update, or a supply chain attack on kernel components.</w:t>
      </w:r>
    </w:p>
    <w:p>
      <w:pPr>
        <w:spacing w:after="120" w:before="60" w:line="360" w:lineRule="auto"/>
      </w:pPr>
      <w:r>
        <w:rPr>
          <w:rFonts w:ascii="Calibri" w:cs="Calibri" w:eastAsia="Calibri" w:hAnsi="Calibri"/>
          <w:b w:val="false"/>
          <w:bCs w:val="false"/>
          <w:i/>
          <w:iCs/>
          <w:strike w:val="false"/>
          <w:color w:val="000000"/>
          <w:sz w:val="22"/>
          <w:szCs w:val="22"/>
        </w:rPr>
        <w:t xml:space="preserve">Mitigations:</w:t>
      </w:r>
      <w:r>
        <w:rPr>
          <w:rFonts w:ascii="Calibri" w:cs="Calibri" w:eastAsia="Calibri" w:hAnsi="Calibri"/>
          <w:b w:val="false"/>
          <w:bCs w:val="false"/>
          <w:i w:val="false"/>
          <w:iCs w:val="false"/>
          <w:strike w:val="false"/>
          <w:color w:val="000000"/>
          <w:sz w:val="22"/>
          <w:szCs w:val="22"/>
        </w:rPr>
        <w:t xml:space="preserve"> The kernel is verified against a cryptographic signature before each boot using Secure Boot. TPM attestation provides a hardware-rooted measurement of the boot chain. Periodic kernel integrity verification checks the running kernel image against a known-good hash. Kernel updates are subject to the same dual-authorization and audit requirements as other security-sensitive changes and are tested in an isolated environment before production deployment.</w:t>
      </w:r>
    </w:p>
    <w:p>
      <w:pPr>
        <w:spacing w:after="120" w:before="60" w:line="360" w:lineRule="auto"/>
      </w:pPr>
      <w:r>
        <w:rPr>
          <w:rFonts w:ascii="Calibri" w:cs="Calibri" w:eastAsia="Calibri" w:hAnsi="Calibri"/>
          <w:b/>
          <w:bCs/>
          <w:i w:val="false"/>
          <w:iCs w:val="false"/>
          <w:strike w:val="false"/>
          <w:color w:val="000000"/>
          <w:sz w:val="22"/>
          <w:szCs w:val="22"/>
        </w:rPr>
        <w:t xml:space="preserve">Maintenance Mode Window Exploitation.</w:t>
      </w:r>
      <w:r>
        <w:rPr>
          <w:rFonts w:ascii="Calibri" w:cs="Calibri" w:eastAsia="Calibri" w:hAnsi="Calibri"/>
          <w:b w:val="false"/>
          <w:bCs w:val="false"/>
          <w:i w:val="false"/>
          <w:iCs w:val="false"/>
          <w:strike w:val="false"/>
          <w:color w:val="000000"/>
          <w:sz w:val="22"/>
          <w:szCs w:val="22"/>
        </w:rPr>
        <w:t xml:space="preserve"> An attacker — insider or otherwise — times their attack to coincide with a scheduled maintenance window, taking advantage of the relaxed attribute write permissions that exist during maintenance to make malicious changes under cover of legitimate maintenance activity.</w:t>
      </w:r>
    </w:p>
    <w:p>
      <w:pPr>
        <w:spacing w:after="120" w:before="60" w:line="360" w:lineRule="auto"/>
      </w:pPr>
      <w:r>
        <w:rPr>
          <w:rFonts w:ascii="Calibri" w:cs="Calibri" w:eastAsia="Calibri" w:hAnsi="Calibri"/>
          <w:b w:val="false"/>
          <w:bCs w:val="false"/>
          <w:i/>
          <w:iCs/>
          <w:strike w:val="false"/>
          <w:color w:val="000000"/>
          <w:sz w:val="22"/>
          <w:szCs w:val="22"/>
        </w:rPr>
        <w:t xml:space="preserve">Mitigations:</w:t>
      </w:r>
      <w:r>
        <w:rPr>
          <w:rFonts w:ascii="Calibri" w:cs="Calibri" w:eastAsia="Calibri" w:hAnsi="Calibri"/>
          <w:b w:val="false"/>
          <w:bCs w:val="false"/>
          <w:i w:val="false"/>
          <w:iCs w:val="false"/>
          <w:strike w:val="false"/>
          <w:color w:val="000000"/>
          <w:sz w:val="22"/>
          <w:szCs w:val="22"/>
        </w:rPr>
        <w:t xml:space="preserve"> Maintenance sessions are strictly time-limited. All changes during maintenance are logged with before-and-after values and both authorizer identities. Normal user sessions are suspended or restricted during maintenance, reducing the attack surface. Out-of-band verification of physical presence of both authorizing parties is required for high-sensitivity maintenance operations. Post-maintenance review of all attribute changes is a required operational procedure.</w:t>
      </w:r>
    </w:p>
    <w:p>
      <w:pPr>
        <w:spacing w:after="120" w:before="60" w:line="360" w:lineRule="auto"/>
      </w:pPr>
      <w:r>
        <w:rPr>
          <w:rFonts w:ascii="Calibri" w:cs="Calibri" w:eastAsia="Calibri" w:hAnsi="Calibri"/>
          <w:b/>
          <w:bCs/>
          <w:i w:val="false"/>
          <w:iCs w:val="false"/>
          <w:strike w:val="false"/>
          <w:color w:val="000000"/>
          <w:sz w:val="22"/>
          <w:szCs w:val="22"/>
        </w:rPr>
        <w:t xml:space="preserve">AI Baseline Evasion.</w:t>
      </w:r>
      <w:r>
        <w:rPr>
          <w:rFonts w:ascii="Calibri" w:cs="Calibri" w:eastAsia="Calibri" w:hAnsi="Calibri"/>
          <w:b w:val="false"/>
          <w:bCs w:val="false"/>
          <w:i w:val="false"/>
          <w:iCs w:val="false"/>
          <w:strike w:val="false"/>
          <w:color w:val="000000"/>
          <w:sz w:val="22"/>
          <w:szCs w:val="22"/>
        </w:rPr>
        <w:t xml:space="preserve"> A sophisticated insider, aware of the AI anomaly detection system, deliberately and slowly modifies their behavior over a long period to shift their behavioral baseline toward the pattern of their intended malicious activity, making the eventual attack appear consistent with their trained baseline.</w:t>
      </w:r>
    </w:p>
    <w:p>
      <w:pPr>
        <w:spacing w:after="120" w:before="60" w:line="360" w:lineRule="auto"/>
      </w:pPr>
      <w:r>
        <w:rPr>
          <w:rFonts w:ascii="Calibri" w:cs="Calibri" w:eastAsia="Calibri" w:hAnsi="Calibri"/>
          <w:b w:val="false"/>
          <w:bCs w:val="false"/>
          <w:i/>
          <w:iCs/>
          <w:strike w:val="false"/>
          <w:color w:val="000000"/>
          <w:sz w:val="22"/>
          <w:szCs w:val="22"/>
        </w:rPr>
        <w:t xml:space="preserve">Mitigations:</w:t>
      </w:r>
      <w:r>
        <w:rPr>
          <w:rFonts w:ascii="Calibri" w:cs="Calibri" w:eastAsia="Calibri" w:hAnsi="Calibri"/>
          <w:b w:val="false"/>
          <w:bCs w:val="false"/>
          <w:i w:val="false"/>
          <w:iCs w:val="false"/>
          <w:strike w:val="false"/>
          <w:color w:val="000000"/>
          <w:sz w:val="22"/>
          <w:szCs w:val="22"/>
        </w:rPr>
        <w:t xml:space="preserve"> The AI system is supplemented by rule-based hard limits that cannot be trained away — for example, any access to a file above the user's clearance level is always an alert regardless of the AI baseline. Periodic manual review of AI baselines by the security team is a required operational procedure. External red-team audits provide independent validation of detection capability. Anomalies are correlated across multiple users; evasion in isolation does not protect against detection of correlated patterns.</w:t>
      </w:r>
    </w:p>
    <w:p>
      <w:pPr>
        <w:spacing w:after="120" w:before="60" w:line="360" w:lineRule="auto"/>
      </w:pPr>
      <w:r>
        <w:rPr>
          <w:rFonts w:ascii="Calibri" w:cs="Calibri" w:eastAsia="Calibri" w:hAnsi="Calibri"/>
          <w:b/>
          <w:bCs/>
          <w:i w:val="false"/>
          <w:iCs w:val="false"/>
          <w:strike w:val="false"/>
          <w:color w:val="000000"/>
          <w:sz w:val="22"/>
          <w:szCs w:val="22"/>
        </w:rPr>
        <w:t xml:space="preserve">Supply Chain Attack via Approved Update.</w:t>
      </w:r>
      <w:r>
        <w:rPr>
          <w:rFonts w:ascii="Calibri" w:cs="Calibri" w:eastAsia="Calibri" w:hAnsi="Calibri"/>
          <w:b w:val="false"/>
          <w:bCs w:val="false"/>
          <w:i w:val="false"/>
          <w:iCs w:val="false"/>
          <w:strike w:val="false"/>
          <w:color w:val="000000"/>
          <w:sz w:val="22"/>
          <w:szCs w:val="22"/>
        </w:rPr>
        <w:t xml:space="preserve"> Malicious code is delivered to production systems through an apparently legitimate software update that passes signature verification because the signing infrastructure has been compromised, or because the vendor itself has been compromised.</w:t>
      </w:r>
    </w:p>
    <w:p>
      <w:pPr>
        <w:spacing w:after="120" w:before="60" w:line="360" w:lineRule="auto"/>
      </w:pPr>
      <w:r>
        <w:rPr>
          <w:rFonts w:ascii="Calibri" w:cs="Calibri" w:eastAsia="Calibri" w:hAnsi="Calibri"/>
          <w:b w:val="false"/>
          <w:bCs w:val="false"/>
          <w:i/>
          <w:iCs/>
          <w:strike w:val="false"/>
          <w:color w:val="000000"/>
          <w:sz w:val="22"/>
          <w:szCs w:val="22"/>
        </w:rPr>
        <w:t xml:space="preserve">Mitigations:</w:t>
      </w:r>
      <w:r>
        <w:rPr>
          <w:rFonts w:ascii="Calibri" w:cs="Calibri" w:eastAsia="Calibri" w:hAnsi="Calibri"/>
          <w:b w:val="false"/>
          <w:bCs w:val="false"/>
          <w:i w:val="false"/>
          <w:iCs w:val="false"/>
          <w:strike w:val="false"/>
          <w:color w:val="000000"/>
          <w:sz w:val="22"/>
          <w:szCs w:val="22"/>
        </w:rPr>
        <w:t xml:space="preserve"> All executables, including updates, require signature verification against an approved authority. Application administrator approval is required before any new executable hash is added to the whitelist. Updates are tested in an isolated environment that mirrors production before deployment. Multiple independent signing authorities are used where feasible, requiring compromise of multiple supply chain components simultaneously. Behavioral anomalies introduced by a trojanized update will be detectable against the AI behavioral baseline for that executable.</w:t>
      </w:r>
    </w:p>
    <w:p>
      <w:pPr>
        <w:pBdr>
          <w:bottom w:val="single" w:color="000000" w:sz="6"/>
        </w:pBdr>
        <w:spacing w:after="240" w:before="240"/>
      </w:pPr>
    </w:p>
    <w:p>
      <w:pPr>
        <w:pStyle w:val="Heading1"/>
        <w:spacing w:after="120" w:before="480" w:line="312" w:lineRule="auto"/>
      </w:pPr>
      <w:r>
        <w:rPr>
          <w:rFonts w:ascii="Calibri" w:cs="Calibri" w:eastAsia="Calibri" w:hAnsi="Calibri"/>
          <w:color w:val="1A1A1A"/>
          <w:sz w:val="48"/>
          <w:szCs w:val="48"/>
        </w:rPr>
        <w:t xml:space="preserve">17. Glossary</w:t>
      </w:r>
    </w:p>
    <w:p>
      <w:pPr>
        <w:spacing w:after="120" w:before="60" w:line="360" w:lineRule="auto"/>
      </w:pPr>
      <w:r>
        <w:rPr>
          <w:rFonts w:ascii="Calibri" w:cs="Calibri" w:eastAsia="Calibri" w:hAnsi="Calibri"/>
          <w:b w:val="false"/>
          <w:bCs w:val="false"/>
          <w:i w:val="false"/>
          <w:iCs w:val="false"/>
          <w:strike w:val="false"/>
          <w:color w:val="000000"/>
          <w:sz w:val="22"/>
          <w:szCs w:val="22"/>
        </w:rPr>
        <w:t xml:space="preserve">The following terms are used throughout this document with the definitions given below. Where a term has a common general meaning that differs from its use in the ISCS context, the ISCS-specific definition takes precedence within this document.</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tblGrid>
      <w:tr>
        <w:trPr>
          <w:tblHeader/>
        </w:trPr>
        <w:tc>
          <w:tcPr>
            <w:tcW w:type="pct" w:w="15%"/>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Term</w:t>
            </w:r>
          </w:p>
        </w:tc>
        <w:tc>
          <w:tcPr>
            <w:tcW w:type="pct" w:w="85%"/>
            <w:shd w:fill="DCE6F1" w:color="auto" w:val="clear"/>
            <w:tcMar>
              <w:top w:type="dxa" w:w="90"/>
              <w:left w:type="dxa" w:w="120"/>
              <w:bottom w:type="dxa" w:w="90"/>
              <w:right w:type="dxa" w:w="120"/>
            </w:tcMar>
          </w:tcPr>
          <w:p>
            <w:r>
              <w:rPr>
                <w:rFonts w:ascii="Calibri" w:cs="Calibri" w:eastAsia="Calibri" w:hAnsi="Calibri"/>
                <w:b/>
                <w:bCs/>
                <w:i w:val="false"/>
                <w:iCs w:val="false"/>
                <w:strike w:val="false"/>
                <w:color w:val="0D1B2E"/>
                <w:sz w:val="22"/>
                <w:szCs w:val="22"/>
              </w:rPr>
              <w:t xml:space="preserve">Definition</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Trust Ticket</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 cryptographically signed session token issued by the kernel authentication service upon successful login. Binds together user identity, source IP address, device fingerprint, and a time token. Required for all resource access within a session. Non-transferable and non-delegable.</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MAC (Mandatory Access Control)</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An access control model in which access decisions are enforced by the kernel based on immutable security labels attached to subjects and objects. MAC decisions cannot be overridden by user-space processes, application settings, or OS-level administrative privileges.</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TCB (Trusted Computing Base)</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The set of hardware, firmware, and software components that are critical to the correct enforcement of the security policy. Within the ISCS, the TCB includes the kernel, the kernel attribute store, the MAC policy engine, and the audit log write path. Compromise of the TCB is the highest-severity residual risk.</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Normal Mode</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The default and perpetual operating state of the ISCS in which all enforcement mechanisms are fully active and all security attributes are immutable. Normal Mode is the only mode in which regular user sessions are permitted.</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Maintenance Mode</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 restricted, time-limited administrative operating state in which the kernel attribute store is writable by an authorized maintenance session. Entry requires dual authorization. All changes made during Maintenance Mode are logged with full attribution. Normal user sessions are suspended or restricted during this mode.</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Security Attribute</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An immutable label attached to a file, program, or user account that defines its security classification (for files), risk level (for programs), or role assignment (for users). Stored in the kernel-protected attribute store. Immutable in Normal Mode.</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Command Group</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 named, explicitly bounded set of shell and command-line interface operations that are permitted for a specific role. A user may only execute commands that appear in the command groups assigned to their role. Command groups are enforced by the kernel command policy engine.</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Backup Domain</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 logically and physically isolated network segment dedicated exclusively to backup operations. Production systems push data to the Backup Domain via a one-directional, approved backup protocol. Accessible only to the Backup Operator role. Has no routing path to the Production Zone except the approved backup push channel.</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Executable Whitelist</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 kernel-maintained list of approved executable binaries, identified by cryptographic hash and digital signature. Only executables present on the whitelist with a Trusted risk attribute may execute on production systems. Maintained by the Application Administrator; modifiable only in Maintenance Mode.</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IP Binding</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The association of a specific, fixed IP address to a specific registered production device. Enforced at both the session layer (Trust Ticket binding check) and the network layer (IP-based ACL). Dynamic IP addresses are not permitted for production devices.</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Dual Authorization</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 control requiring explicit approval from two distinct authorized parties — each authenticating independently — before a sensitive operation may proceed. Used for Maintenance Mode entry, restore operations on classified data, executable whitelist additions, and account unlock operations.</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Append-Only Log</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An audit log that permits only the addition of new entries. Delete and modify operations are not exposed at any accessible interface. The append-only property is enforced at the kernel driver level and cannot be overridden by user-space processes.</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Crypto-chained Log</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An audit log in which each entry includes a cryptographic hash of the immediately preceding entry. This chain means that modification or deletion of any historical entry is detectable by any reader who verifies the chain, because the hash relationship to subsequent entries will be broken.</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Guest WiFi</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An isolated wireless network segment provided for non-production devices. Has no routing path to the Production Zone or the Backup Domain. Isolation is enforced at the routing and firewall layer, not solely by VLAN tagging. Guest devices may access only designated external internet gateways.</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AI Anomaly Detection</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 real-time behavioral analysis layer that processes the audit event stream to identify deviations from established per-user and per-role behavioral baselines. Operates in read-only mode against the audit stream; cannot modify logs or take enforcement actions without human confirmation.</w:t>
            </w:r>
          </w:p>
        </w:tc>
      </w:tr>
      <w:tr>
        <w:trPr>
          <w:tblHeader w:val="false"/>
        </w:trPr>
        <w:tc>
          <w:tcPr>
            <w:tcW w:type="pct" w:w="15%"/>
            <w:tcMar>
              <w:top w:type="dxa" w:w="90"/>
              <w:left w:type="dxa" w:w="120"/>
              <w:bottom w:type="dxa" w:w="90"/>
              <w:right w:type="dxa" w:w="120"/>
            </w:tcMar>
          </w:tcPr>
          <w:p>
            <w:r>
              <w:rPr>
                <w:rFonts w:ascii="Calibri" w:cs="Calibri" w:eastAsia="Calibri" w:hAnsi="Calibri"/>
                <w:b/>
                <w:bCs/>
                <w:i w:val="false"/>
                <w:iCs w:val="false"/>
                <w:strike w:val="false"/>
                <w:color w:val="000000"/>
                <w:sz w:val="22"/>
                <w:szCs w:val="22"/>
              </w:rPr>
              <w:t xml:space="preserve">Device Registry</w:t>
            </w:r>
          </w:p>
        </w:tc>
        <w:tc>
          <w:tcPr>
            <w:tcW w:type="pct" w:w="85%"/>
            <w:tcMar>
              <w:top w:type="dxa" w:w="90"/>
              <w:left w:type="dxa" w:w="120"/>
              <w:bottom w:type="dxa" w:w="90"/>
              <w:right w:type="dxa" w:w="120"/>
            </w:tcMar>
          </w:tcPr>
          <w:p>
            <w:r>
              <w:rPr>
                <w:rFonts w:ascii="Calibri" w:cs="Calibri" w:eastAsia="Calibri" w:hAnsi="Calibri"/>
                <w:b w:val="false"/>
                <w:bCs w:val="false"/>
                <w:i w:val="false"/>
                <w:iCs w:val="false"/>
                <w:strike w:val="false"/>
                <w:color w:val="000000"/>
                <w:sz w:val="22"/>
                <w:szCs w:val="22"/>
              </w:rPr>
              <w:t xml:space="preserve">A configuration store that records the association between each authorized production device, its registered fixed IP address, and its hardware fingerprint (MAC address, TPM attestation key, or device certificate). Maintained by the System Administrator. Referenced at Trust Ticket issuance and at every session access validation.</w:t>
            </w:r>
          </w:p>
        </w:tc>
      </w:tr>
    </w:tbl>
    <w:p>
      <w:pPr>
        <w:spacing w:after="200" w:before="0"/>
      </w:pPr>
    </w:p>
    <w:p>
      <w:pPr>
        <w:pBdr>
          <w:bottom w:val="single" w:color="CCCCCC" w:sz="6"/>
        </w:pBdr>
        <w:spacing w:after="240" w:before="240"/>
      </w:pPr>
    </w:p>
    <w:p>
      <w:pPr>
        <w:spacing w:after="240" w:line="408" w:lineRule="auto"/>
      </w:pPr>
      <w:r>
        <w:rPr>
          <w:b w:val="false"/>
          <w:bCs w:val="false"/>
          <w:i w:val="false"/>
          <w:iCs w:val="false"/>
          <w:color w:val="000000"/>
        </w:rPr>
        <w:t xml:space="preserve">Insider-Safe Computing System — Architecture Specification and Threat Model</w:t>
      </w:r>
    </w:p>
    <w:p>
      <w:pPr>
        <w:spacing w:after="240" w:line="408" w:lineRule="auto"/>
      </w:pPr>
      <w:r>
        <w:rPr>
          <w:b w:val="false"/>
          <w:bCs w:val="false"/>
          <w:i w:val="false"/>
          <w:iCs w:val="false"/>
          <w:color w:val="000000"/>
        </w:rPr>
        <w:t xml:space="preserve">Version 1.0  |  CONFIDENTIAL  |  September 2026</w:t>
      </w:r>
    </w:p>
    <w:p>
      <w:pPr>
        <w:spacing w:after="240" w:line="360" w:lineRule="auto"/>
        <w:jc w:val="center"/>
      </w:pPr>
      <w:r>
        <w:rPr>
          <w:rFonts w:ascii="Calibri" w:cs="Calibri" w:eastAsia="Calibri" w:hAnsi="Calibri"/>
          <w:b w:val="false"/>
          <w:bCs w:val="false"/>
          <w:i w:val="false"/>
          <w:iCs w:val="false"/>
          <w:strike w:val="false"/>
          <w:color w:val="888888"/>
          <w:sz w:val="15"/>
          <w:szCs w:val="15"/>
        </w:rPr>
        <w:t xml:space="preserve">Document ID: ISCS-ARCH-1.0   |   Classification: CONFIDENTIAL   |   Status: Final — For Review   |   Author: System Architect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000000"/>
      <w:sz w:val="48"/>
      <w:szCs w:val="48"/>
    </w:rPr>
  </w:style>
  <w:style w:type="paragraph" w:styleId="Heading2">
    <w:name w:val="Heading 2"/>
    <w:basedOn w:val="Normal"/>
    <w:next w:val="Normal"/>
    <w:qFormat/>
    <w:rPr>
      <w:rFonts w:ascii="Arial" w:cs="Arial" w:eastAsia="Arial" w:hAnsi="Arial"/>
      <w:b/>
      <w:bCs/>
      <w:color w:val="000000"/>
      <w:sz w:val="36"/>
      <w:szCs w:val="36"/>
    </w:rPr>
  </w:style>
  <w:style w:type="paragraph" w:styleId="Heading3">
    <w:name w:val="Heading 3"/>
    <w:basedOn w:val="Normal"/>
    <w:next w:val="Normal"/>
    <w:qFormat/>
    <w:rPr>
      <w:rFonts w:ascii="Arial" w:cs="Arial" w:eastAsia="Arial" w:hAnsi="Arial"/>
      <w:b/>
      <w:bCs/>
      <w:color w:val="000000"/>
      <w:sz w:val="30"/>
      <w:szCs w:val="30"/>
    </w:rPr>
  </w:style>
  <w:style w:type="paragraph" w:styleId="Heading4">
    <w:name w:val="Heading 4"/>
    <w:basedOn w:val="Normal"/>
    <w:next w:val="Normal"/>
    <w:qFormat/>
    <w:rPr>
      <w:rFonts w:ascii="Arial" w:cs="Arial" w:eastAsia="Arial" w:hAnsi="Arial"/>
      <w:b/>
      <w:bCs/>
      <w:color w:val="000000"/>
      <w:sz w:val="26"/>
      <w:szCs w:val="26"/>
    </w:rPr>
  </w:style>
  <w:style w:type="paragraph" w:styleId="Heading5">
    <w:name w:val="Heading 5"/>
    <w:basedOn w:val="Normal"/>
    <w:next w:val="Normal"/>
    <w:qFormat/>
    <w:rPr>
      <w:rFonts w:ascii="Arial" w:cs="Arial" w:eastAsia="Arial" w:hAnsi="Arial"/>
      <w:b/>
      <w:bCs/>
      <w:color w:val="000000"/>
      <w:sz w:val="24"/>
      <w:szCs w:val="24"/>
    </w:rPr>
  </w:style>
  <w:style w:type="paragraph" w:styleId="Heading6">
    <w:name w:val="Heading 6"/>
    <w:basedOn w:val="Normal"/>
    <w:next w:val="Normal"/>
    <w:qFormat/>
    <w:rPr>
      <w:rFonts w:ascii="Arial" w:cs="Arial" w:eastAsia="Arial" w:hAnsi="Arial"/>
      <w:b/>
      <w:bCs/>
      <w:color w:val="000000"/>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PPxfFjYVzqA3mjMk3bBd9</dc:title>
  <dc:creator>Un-named</dc:creator>
  <dc:description>Generated document</dc:description>
  <cp:lastModifiedBy>Un-named</cp:lastModifiedBy>
  <cp:revision>1</cp:revision>
  <dcterms:created xsi:type="dcterms:W3CDTF">2026-09-10T22:34:03.386Z</dcterms:created>
  <dcterms:modified xsi:type="dcterms:W3CDTF">2026-09-10T22:34:03.386Z</dcterms:modified>
</cp:coreProperties>
</file>

<file path=docProps/custom.xml><?xml version="1.0" encoding="utf-8"?>
<Properties xmlns="http://schemas.openxmlformats.org/officeDocument/2006/custom-properties" xmlns:vt="http://schemas.openxmlformats.org/officeDocument/2006/docPropsVTypes"/>
</file>